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449</w:t>
      </w:r>
    </w:p>
    <w:p>
      <w:r>
        <w:t>Bundesgericht (BGE), 1920-01-01, DE</w:t>
      </w:r>
    </w:p>
    <w:p>
      <w:r>
        <w:rPr>
          <w:b/>
        </w:rPr>
        <w:t xml:space="preserve">Quelle: </w:t>
      </w:r>
      <w:r>
        <w:t>https://mcp.opencaselaw.ch/entscheid/bge_46_II_449</w:t>
      </w:r>
    </w:p>
    <w:p>
      <w:r>
        <w:t>FR: ATF 46 II 449</w:t>
      </w:r>
    </w:p>
    <w:p>
      <w:r>
        <w:t>IT: DTF 46 II 449</w:t>
      </w:r>
    </w:p>
    <w:p>
      <w:pPr>
        <w:pStyle w:val="Heading2"/>
      </w:pPr>
      <w:r>
        <w:t>Volltext</w:t>
      </w:r>
    </w:p>
    <w:p>
      <w:r>
        <w:t>448 Obügationenree~t. N6 77. (Zürich) v~rscpiedener Ort angegeben ist ,; vielmehr befindet sich auch die Zahlstelle' in Zürich,a1lerdings in einem anderen Notariatskreise. Doch kann auf diesen Umstand, wie schon das erstinstanzliehe Urteil zu- treffend ausgeführt hat, angesichts der Fassung des Art. 743 OR nichts ankommen. Danach war der Wechsel dem Bezogenen zurZahlung vorzuweisen {vgl. HAFNER, Anm. 11 zu Art. 764 OR). Laut der Protesturkunde hat der Protestbeamte ihn auch tatsächlich dem Bezogenen und Akzeptanten Sattler, mit der Aufforderung zur Ein- lösung, präsentieren wollen, aber im Domizil der Firma M. Zehnder-Simmen.' Es frägt sich daher, ob nach dem Gesetz der Wechsel dem Bezogenen dort zurZablung habe vorgewiesen werden dütf~n, und ob der daseJbst aufgenommene Protest rechtsgültig sei. Die Entscheidung dieser Frage ergibt sich, entgegen der Auffassung, der Vorinstanz. nicht schon aus Art. 818 Abs. 1 OR; denn wenn das Gesetz vorschreibt, dass die bei einer bestimmten Person vorzu{lehmenden wech- selmässigen Akte, insbesondere die Präsentation zur Zahlung und die Protesterhebung. in deren GeschäftS-: lokal (oder in Ermangelung eines solchen in deren Woh- nung) stattzufinden haben, so ist darunter ihr wirk- liches, ordentliches Geschäftslokal zu verstehen. Allein Art. 818 bestimmt weiter in Abs. 2, dass jene Akte mit beiderseitigem Einverständnis auch an einem anderen Orte, z. B. an der Börse, geschehen können; dabei kommt es auf das Einverständnis des Bezogenen einer- seits und des Ausstellers des Wechsels andererseits an. Für die Annahme eines solchen Einverständnisses ist nun hier entscheidend, dass im We c h seI s el b e r eine vom -Geschäftslokal und der Wohnung des Be- zogenen verschiedene Zahlstelle des nämlichen Orts angegeben' ist. und nach. den Feststellungen der kan- tonalen Instanzen dieser Vermerk sich bereits auf dem W-eeb,sel-befand, als· der Kläger-ihn ausgestellt und der Bezogene ihn akzeptiert hat; hieraus folgt ,kwingend; Obligationenn'cht. ",. 78 449 dass beide sich mit der Zahlstelle: «M. Zehnder- Simmen Zürich I» einverstanden erklärt haben. Dass eine im Wechsel selbst angegebene Zahlstelle für die Vorweisung desselben zur Zahlung und die Protester- hebung massgebend ist, nimmt auch HAFNER an (Komm. a.a. 0., sowie Anm. 6 zu Art. 818), und diese Auffassung entspricht offenbar einzig den Bedürfnissen des Ver- kehrs. Vergl. Deutsche Wechselordnung, revid. Art. 43 und Anm. 7 hiezu im Komm. STAUB-STRANZ, 8. Auflage S. 140 f. 3. - Da somit der erhobene Protest als gültig zu betrachten ist, so erweist sich die Regressforderung des Beklagten wechselmässig als begründet. Die weitere Frage der zivilrechtlichen Haftung des Klägers aus eingegangener Bürgschaft ist vor Bundesgericht nicht mehr streitig, und das angefochtene Urteil deshalb im vollen Umfange zu bestätigen. Demnach erkennt das Bundesgericht : Die Berufung wird abgewiesen und das Urteil des Appellationsgerichts des Kantons Basel-Stadt vom 8. Juni 1920 'bestätigt. 78. Anti 4e 1&amp; Ire aection 4u 6 4'cembre lUD dans la cause Jeoarc1 .t CODIOJ'tI contre A.ucbnthaler .t CODIOI'tI. ResponsabiIite des administrateurs d'une' societe anonyme; arte 674, 670, 671 et 41 CO. A. - Le 18 mars 1908 a eu lieu, ä Lausanne, l' assemblee constitutive de la Societe anonyme du Grand Hötel de la Paix, societe au capital de500 000 fr. divise en 1000 actions de 500 fr. La redaction des statuts de la Societe 450 Obligationenrecht. N° 78. avait ete confiee a un notaire de Lausanne, sur la hase d'elements contenus dans une notice repandue en vue de la souscription du capital-actions. Cette notice con- tenait notamment findication suivante: « Un interet intercalaire de 4 % sera paye pendant la construction, soit 20 fr. le l er juillet 1909 et 20 fr. le 1er juillet 1910. » Elle renfermait egalement un devis dont un des articles, s'e!evant a 125 750 fr., etait intitulecomme suit : « Droits de mutations, notaire, interets intercalaires et imprevus. » A la notice etait joint un prospectus d'emission contenant lui-meme la mention suivante: « Un interet interca- laire de 4 % est garanti aux actions pendant la durt~e de la constructiQn, soit un coupon de 20 fr. le 1 er juillet 1909 et un coupon de 20 fr.le 1er juillet 1910. » Contrairement a la notice et au prospectus, le projet de statuts elahore par le notaire ne renfermait ni dispo- sition ni mention quelconque relatives au paiement des interets « intercalaires)). n fut adopte neanmoins par l'assemhlee generale, sans aucune adjonction sur ce point et sans meme, semhle-t-il, d'apres le pro ces-verbal de l'audience, que cette question eut donne lieu a 1a moindre ohservation de la part de l'une des personnes presentes. Les interets (. 11llel'calaires J) ont He payes conforme- ment aux indicalions de la notice, soit la premiere tran- che des Je 1 er juWel 1909 et Ia seconde des le 1 er juHlet 1910, par les soius de Ia Banque Charriere et Roguin a Lausanne, sur presentation" des coupons, sans decision nouvelle et salls ordre special· du Conseil d'administra- tion de la Societe. Par lettres· du 1 er juillet 1909 et1 er juillet 1910, la Banque Charriere et Roguin a avise la Societe qu'elle dehitait son compte, pour le paiement des interets {( intercalaires J) de 20 000 fr.,· d'une part pour l'echeance du 1er juillet 1909 et de 20 000 fr., d'autre part pour celle du 1 er juillet 1910. Ces interets ont ete comptabilises aces deux dates dans les livres de la Societe sous Ia rubrique « compte d'interets » et furent Obligationenrecht. N° 78 451. portes egalement dans les comptes annuels. Ces comptes ont ete approuves par les assemhleesgenerales qu'en Ia laissant s'effectuer sans opposition, les defendeurs . aient commis plus qu'une simple negligence. Sans doute etaient-ils censes connaitre les 'dispositions legales qui regissaient cette matiere et ne pas ignorer par consequent que pour Hre valable ce paiement aurait d1i ~tre prevu dans les statuts et sous une forme. detenninee, alors qu'en fait ceux-ci n'en faisaient aucune mention, mais cela ne suffit pas non plus pour entrainer leur responsa- bilire. Encore restait-il a prouver - et c'est a bon droit que l'instance cantonale a estime devoir mettre cette preuve a la charge des demandeurs - que les administra- teurs s'etaient rendu compte en fait du caractere irre- gu~ier de ~'operation, qu'ils avaient prevu le dommage qUl pouvrut en resulter pour les creanciers et que nean- moins ils l'avaient laisse s'effectuer~ Or cette preuve ne resulte ni des allegues des demandeurs ni de l'instruc- tion du proces. Si l'on se refere aux circonstances a la suite desquelles les statuts ont ete elabores puis approuves, il parait bien plutöt etabli que les administrateurs ont agi non seulement dans l'ignorance Ia plus complete des dispositions legales mais dans des condition teIles que leur bonne foi· m~e ne saurait ~tre mise en doute. 11 est constant notamment que le paiement des inter~ts ({ intercalaires» avait ete publiquement annonce par le moyen de la notice et dU" prospectus d'emission, si bienque, comme l'instance cantonale l'observe egalement avec raison, on est fondea supposer que les administra- teurs ont pu envisager Ie paiement des inter~ts interca- laires, comme I'execution de ce qu'ils croyaient etre un engagement de la Societe, car s'ils s'etaient vraiment rendu compte de la necessire d'une disposition speciale des statuts sur ce point, illeur e1it ete aise de l'y introduire et de la faire voter par l'assemblee des actionaires. On ne saurait par consequent pretendre non plus qu'ils aient eu !'intention de provoquer un dommage. et Ohlil:'lJfionenreeht. N° 78. dans ces 'condltions·l'artlc1e 674est evidemment inappl~ cabie. . 3. - C'est a tort egalement que les demandeurs en- tendent faire decouler Ia responsabilite des defendeurs de' l'omission- des formalites prescrites par rart. 670 al. 2 CO. Cette disposition ne vise en effet, ainsi qu'il ressort du texte lui-meme, que le cas d'une reduction proprementdite du capital social, Iorsque cette reduction a pour but notamment de decharger Ies actionnaires desversements non effectues. S'il est vrai que le paiement d'interets « de construction )} entraine bien, en fait, une diminution du capital social, cela n'est pas un motif suffisant . cependant pour assimiler cette hypothese a celle d'une reduction voulue du capital social. Aussi bien, si la these des recourants devait ~tre accueiIlie, devrait-elle necessairement entrainer cette consequence que tout paiement d'inreret « de construction» m~me celui qui aurait ere expressement prevu par les statuts et dans Ia forme exigee par l'art. 630 CO, devrait ~tre precede des formalites prescrites pour le cas de la repartition de l' actif en cas de dissolution, ce qui est evidemment insoutenable. 4. - Le Tribunal federal a juge a plusieurs reprises que, la responsabilire instituee par l'art. 674 CO, malgre I:absence de rapports contractuels entre celui qui l'en- court et celui envers lequel elle est encourue, etait une responsabilite de nature contractuelle, . de teIle sorte, qu'independamment de cette responsabilite speciale, rien n'em~chait que les membres de l'administration et les contröleurs ne fussent eventuellement recherches en vertu des principes qui regissent Ia responsabilite a raison des actes illicites (art; 50 et sv. CO ancien) (cf. RO 14 p. 692 et sv;; 23 11; p. 1071 ; 24 11 p.816 ; 28 11 p. 107; cf. egalement BACHMANN, art. 674 note 2). Mais il ressort cependantdes motifs retenus a l'appui de cette jurisprudence que, pour justifier l' action fondee sur l'art. 41 et suiv. CO actuel, il ne suffit pas que l'acte 456 Obligationenrecht. N. 71s. a raison duquel les membres de l'administration et les contröleurs soient recherches consiste dans l'inexecution des devoirs de leur charge, il faut que, en toutetat de cause ou suivant l'expression employee dans rarr~t • Spar-' u. Leihkasse Bern c. Bern (RO 23 IIp. 1071); (( independamment des devoirs d'administration et de contröle», cet acte se caracterise comme une violation d'un precepte de droit general et imperatif (ein Gebot der allgemeinen Rechtsordnung). En vertu de ces principes, il resterait donc a rechercher si cette condition peut elfe tenue pour realisee en l'espece. Comme les obligations qui incombent aux administrateurs et contröleurs de- societes anonymes sont multiples, il serait vain, semble-t-il, de vouloir enoncer en cette matiere de regles generales et absolues. 11 convient au contraire de juger chaque cas en particulier. Aussi bien ne saurait-on se borner a invoquer en l'espece les consi- derations emises alt sujet de l' affaire Schelling contre Brueck et Wilson Co (RO 43 II p. 299). La question a juger etait toute differente, et a comparer d'ailleurs l'art. 630 a l'art. 828 CO, qui interdit a Ia Societe ano- nyme d'acquerir ses propres actions, aucuneassimilation ne serait possible non plus quant a la portee de ces deux dispositions. Tandis que la regle posee a l'art. 628 peut etre consideree en effet comme s'adressant a la fois au vendeur et a l'acheteur et comme ayant ainsi une portee generale, l' obligation de veiller. a l' observation des pre- scriptions relatives aux inter~ts «de construction» ne concerne manifestement que les personnes chargees de l'administration ou du contröle et si elle interesse bien les creanciers, ce n'est egalement qu'en cette qualite. Loin de pouvoir etre erigee en un precepte de droit absoIu, cette obligation ne saurait, au contraire, etre envisagee que comme une obligation specifique des administrateurs et des contröle,..rs, derivant du contrat passe avec Ia Societe, et dont l'inexecution, par conse- quent, n'est susceptible d'entrainer d'autres suites a Ob6gationenreeht. N°· 79. 457 l'egard des creanciers et des actionnairesque celles fixees par rart. 674 CO et dans les conditions qu'il p~ev?it. L'application des art. 41 et sv. se trouvant amSl exclue deja de par ce qui precede, il n'estpas necessaire de rechercher ici si ces dispositions peuvent ~tre invoquees au cas Oll le dommage allegue n'a pas ete subi directement par la ou les personries pretenduement Iesees, mais n'au- rait pu, en tout etat de cause, les atteindre que d'une maniere indirecte, c'est-a-dire par re.percussion des effets produits sur la fortune de leur debiteur. 11 serait de m~me superflu de s'arr~ter a examiner si ce dom- mage lui-m~e peut ~tre considere comme Hant a l' egard des faits pretenduement dommageables dans un rapport de causalite suffisant pour entratner l'ap- plication de ces memes dispositions. 5. - Quand au moyen souleve en dernier lieu par les demandeurs et pris de l'art. 671 CO, il doit ~tre egale- ment rejete. Le dossier ne contient en effet aucun fait, aucun indice m~me susceptible d'appeler l'application de cette prescription et a ce point de vue l' action et le recours apparaissent incontestablement, en l'etat de la cause, comme depourvus de toute espece de justifi- cation. Le Tribunal federal prononce: Le recours est rejete et le jugement attaque est con- firme. 79. Auszug aus dem Urteil der I. ZivilabteUung vom G. Dezember leaO i. S. Baumann gegen Salleras. Dis ta n z k a n f. Haftung für Gewichtsverlust. Einfluss der Frankoklausel auf die Bestiimnung des Erfüllungsortes und den Uebergang der Gefahr (Art. 185 OR). A. - Der Kläger Salleras ist Inhaber eines Export- geschäftes in Figueras (Spanien) und ist in der Schweiz AS 4611 - uno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