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441</w:t>
      </w:r>
    </w:p>
    <w:p>
      <w:r>
        <w:t>Bundesgericht (BGE), 1919-01-01, DE</w:t>
      </w:r>
    </w:p>
    <w:p>
      <w:r>
        <w:rPr>
          <w:b/>
        </w:rPr>
        <w:t xml:space="preserve">Quelle: </w:t>
      </w:r>
      <w:r>
        <w:t>https://mcp.opencaselaw.ch/entscheid/bge_45_II_441</w:t>
      </w:r>
    </w:p>
    <w:p>
      <w:r>
        <w:t>FR: ATF 45 II 441</w:t>
      </w:r>
    </w:p>
    <w:p>
      <w:r>
        <w:t>IT: DTF 45 II 441</w:t>
      </w:r>
    </w:p>
    <w:p>
      <w:pPr>
        <w:pStyle w:val="Heading2"/>
      </w:pPr>
      <w:r>
        <w:t>Volltext</w:t>
      </w:r>
    </w:p>
    <w:p>
      <w:r>
        <w:t>440 Obltgationenreeht. N- 66. ' solution negative, car la formule divrables dans 8 a 10 jours I) est synonyme' de «livrable tandeszurückmwe1sen. Zur Begrün- dung wurde zunächst darauf hingewiesen, dass das Urteil des Appellationshofes entgegen kantonaler Prozessvor- schrift keine Zusammenfassung des Tatbestande~ auf- weise. Im übrigen sodann hat' der Beklagte im wesent- lichen seine vor kantonaler Instanz eingenommenen Standpunkte beibehalten. Der Kläger hat im wesentlichen unter BerufllDg auf die vorinstanzlichen Erwägungen auf Bestätigu~ des angefochtenen Urteils antragen lassen. Das Bundesgericht zieht in Erwägung: 1. - Ob die Vorinstanz nach kantonalem Prozessrecht verpflichtet war, eine Zusammenfassung des. festgestellten Tatbestandes vorzunehmen, kann das Bundesgericht Obl1gationenrecht. Ne 67. nicht untersuchen. Dagegen ist die vom Beklagten vor- genommene Bemängelung auch vom Gesichtspunkt des Bundesrechtes aus begründet, indem der Vorderrichter nach Art. 63 Ziff. 3 OG gehalten ist, das Ergebn~ der Beweisführung fest2;ustellen und zusammenzufassen. Von einer Rückweisung der Sache an die Vorinstanz mag jedoch abgesehen werden, da sich der Tatbestand, wie er im Eingang dargestellt wurde, aus den vorliegenden Akten klar ergibt. 2. - Die rechtliche Natur der streitigen Transaktionen ist die eines Tausches. Trotzdem nämlich äusserlich zwei getrennte Kaufyerträge abgeschlossen wurden, waren die Parteien, wie sich aus den Vorbringen des Vertreters des Beklagten und namentlich auch aus der Deposition des Klägers ergibt (v. Einvernahme vor Richteramt III Bern vom 19. April 1918), doch darüber einig, die beiden Geschäfte gehören so eng zusammen, dass keines ohne das andere hätte abgeschlossen werden wollen. Dazu kommt dass die Kaufpreise, soweit nicht durch Uebernahme von Hypotheken beglichen ,gegenseitig verrechnet worden sind. Unter diesen Umständen ist demBeklagten beizupflichten, wenn er annimmt, die getrennte Behandlung beider Geschäfte sei nur eine Formsache, innerlich liege ein ein- heitliches Rechtsgeschäft, der Austausch der klägerischen Besitzungen in BÜllplitz und Bolligen gegen diejenige des Beklagten-in Huttwil vor. 3. - Was sodann die Uneinlässlichkeitseinrede des Beklagten anbelangt, so hat die Vorinstanz mit Recht sich auf den Standpunkt gestellt, die Anspr-qche des Klägers, sofern solche überhaupt bestehen, beien weder verjährt, noch sei auf sie verzichtet worden. ;. Ein Minderungsanspruch verjährt entgegen deI' An- sicht de- Beklagten nicht schon ein Jahr nach Kaufs- schluss, bondern erst ein Jahr nach Ablieferung der Kaufsache. Ob darunter im Grundstücksverkehr der Antritt oder aber der Grundbucheintrag verstanden sein soll, mag dahingestellt bleiben. Beide Termine liegen im 444 Obllgätlonenreeht. Na 67. vorliegenden Fall von, der Vorladung zum Sühneversuch kein ganzes Jahr zurück (Art. 210 OR). ,Ein Schadeners;J.tzanspruch aus absichtlicher Täu- schung sodann, würde gemäss Art. 60 OR ein Jahr nach Kenntnisnahme der Täuschung verjähren. Diese Kennt- nisnahme erfolgte nach der verbindlichen. weil nicht aktenwidrigen, . Feststellung der Vorinstanz erst im Juni 1916. Schon im Mai 1917 aber erging die Ladung zum SühneVerbuch. Dje Genehmigung 4es ganzen Geschäftes endlich, will der Bekl8.gte daraus ableiten, dass der Buchhalter des Klägers am 19. Februar 1917 mit ihm hinsichtlich aus- stehender Mietzinse und bezahlter Steuern abgerechnet und Saldoquittung erteilt habe. Mit Recht erklärte jedoch der Appellationshof diesbezüglich, aus einer solchen mehr nebensächlichen Abrechnung dürfe nicht auf einen Verzicht des Klägers, Ansprüche aus nicht rich- tiger Vertragserfüllung geltend zu machen, geschlossen weIden, und zudem sei der Buchhalter gar nicht bevoll- mächtigt gewesen, hinsichtlich anderer Forderungen em'e VerDchtserklärung ab7ugeben. Den Mangel einer solchen Vollmacht müsste der Beklagte nur dann nicht gegen sich gelten lassen, wenn er nach den Umständen auf ihr Vorhandensein hätte schliessen dürfen. Solc-he Umstände aber l&gt;Üld nicht dargetan worden. 4 . ..,.... I~ weitelen i~t davon ~1lI&gt;zugehen, dass die Klage zunädhst als Preisminderungsklage gestellt worden ist. Als sd.lche i&amp;t sie grundsätzlich und entgegen der (übrigens nicht motivierten) Ansicht der Vorinstanz zulässig. Der Kläger hat sich darauf berufen, dass ihm gewisse Eigen- schaft~ des Hauses in Huttwil zugesichert worden, - nämliQll ein bisheriger Zinsertr8.g vort 1400 Fr., - und dass diese Eigenschaften nicht vorhanden sei eil. Das Fehlen der~er zugesicherter Eigenschaften nun, kann sehr wohl einer Preisminderungsklage zur Grundlage dienen. Wefi:Ill.rt. 197 OR s8.gt, der Verkäufer hafte dem Käufer für iu~icherte Eigenschaften, so sind damit nicht wie Obllptlonenreoht. Na 67. 445 ßei den • V'orausgesetzten • nur körperliche und recht- hhe Qualitäten, sondern auch wirtschaftliche. zu ver- ~tehen •. Die frilhere Reehts&amp;prephung allerdings hat dies III Zweifel gezogen. Für' die heutigen Verkehrsverhält- nisse aber, kann ein solcher Zweifel nicht mehr bestehen. OSER zu Art. 197 Nr. II Ib, FICK zu Art. 197 Nr. 21~ Die wirtschaftlichen Eigenschaften. speziell die hier in Fr8.ge kommende Rendite, werden sehr oft den wich- tigsten Teil der gegebenen . Zusicherungen ausmachen. Es liegt daher kein Grund V'or, ein Kaufgeschäft trotzdem solche Eigenschaften fehlen,' aufrecb,t zu erhalten, es aber wegen irg~nd welcher körperlicher Mängel aufzu- heben bezw. zu mindern. Uebrigens besteht zwischen den wirtschaftlichen Eigenschaften einerseits und den recht- lichen und körperlichen Mängeln anderseits gar kein grundSätzlicher Unterschied. Auch die let~teren sind in den meisten Fällen nur deswegen als, Mängel zu betra~h­ ten, weil sie den wirtschaftlichen Wert der Kaufsache beeinträch~en. ' Was sodann die tatsächlichen Grundl8.gen der Minde- rungskl8.ge anbelangt, so sind sie durch die Vorinstanz als vorhanden festgestellt worden. Es steht aktengemäss fest, dass der Be~agte dem Kläger zugesichert hat, das Haus habe bisher 1400 Fr. an Zinsen abgeworfen, es steht ferner fest, dass diese Angaben der Wirtklichkeit bei weitem nicht entsprachen, und dass das Haus auch gar nicht geeign~t ist, einen solchen Zinsertr8.g zu sichern. Endlich ist als nachgewiesen zu betrachten, dass der Klä- ger vom fehlen dieser Eigenschaften beim Kaufabschluss keine Kenntnis hatte. Die Voraussetzungen einer Preisminderung wären somit, und da bei absichtlicher Täuschung eine Ver- wirkung des Anspruches auf Minderung wegen Versäu- mung der Mängelrüge nicht in Fr8.ge kommt. gegeben, und es braucht nicht untersucht zu w:erden, ob dem Kläger auch noch die allgemeinere Klage aus Art. 28 bezw. 41 zUr Verfügung steht. . ObUgationenrecht. N. (i 7. 5. - Nun hat jedoch der Beklagte weiter geltend gemacht, er sei seinerseits vom Kläger auch übervorteilt WOI den, der Anrechnungswert der ihm übertragenen . heiden Parzellen sei weit übersetzt. Diese letztere Be- hauptung ist durch das vom Vorderrichter eingeholte -Gutachten eineh Sachverständigen bestätigt worden. Da- nach durften, auch bei Berücksichtigung der Tatsache, dass es sich um ein Tauschgeschäft handelte, die beiden Grundstücke nicht über 9210 Fr. gewertet werden. Der Beklagte hat dieselben also um zirka 4000 Fr. zu teuer erha1ten. Anderseit&amp; hat der Experte festgestellt, die Liegenschaft in Huttwil sei nur 19,665 Fr. wert, sodass also auch der Kläger zhka 4000 Fr. sich zu viel hat an- rechnen lassen. Hieraus ergibt sich, da.ss das gesamte Tauschgeschäft, wenn es unverändert gelassen wird, der wirklichen Pr~islage ungefähr entspricht, dasb dagegen eine Preis- minderung hinsichtlich de~ Hauses in Huttwil das Gleichgewicht stören und den Kläger unvergleichlich besser stellen würde als den Beklagten. Nun kann aller- dings die Tatsache, dass ein Teil vorteilhafter abge- schlossen hat als der andere jenen nicht hindern, sich auf ihm gemachte Zusicherungen zu' berufen. Allein, wenn es sich wie hier um ein einheitliches Tauschge- schäft handelt, und wenn feststeht, dass der andere Kontrahent seinerseits übe r vor t eil t worden ist, so widerspricht es Treu und Glauben, wenn man diesen anhalten will, trotz der Uebervorteilung eine Minderungs- entschädigung zu z·ahlen. Obschon grundsätzlich begründet, muss daher die Minderung .. klage aus diesen letzten Erwägungen abge-s wiesen werden. Demnach erkennt das Bundesgericht : Die Berufung Wirq gutgeheissen und die Klage unter Aufhebung des Urteils des bernischen Appellationshofes vom 21. Dezember 1918 abgewiesen. 68. .irr6t cle 1&amp; IIrne nOti011 eh 30 saptemb19 1919 dans la: cause l'uIItlmami contre Fertat. 447 Enrichissement illegitime; notton de l'enrichissement ; condi- tions dans lesquelles la tepetition peut av(rit Ii~u, malgn' que le defendeur ait cesse d'etre enrichi : art. 64 CO. A. - Adolphe Ferrat a Saöne (France) etait co-pro- prietaire avec ses enfants mineurs d'immeUl'rles sitlIcs pres d'Orvin; d'auttes pafcelles fui appartenaient en toute propriete. Ces immeubles etaieht geres par fe no- taire Rhyn a Tra:melan, qui etait au benefice d'une pro- curation generale. Fuhrimann est entre en pourparlers avec le notaire Rhyn au sujet de l'achat des immeubles. Le 31 dec. 1917 illes a achetes pour le prix de 18000 fr .. payes comptant par tUl cheque sm la B"anqUe ca.ntonale qu'\l a remis a Rhyn. Acette vente Ferrat etait represente par M. Beguelin, stagiaire du notaire Rhyn et les enfants Ferrat Haient representes par leur curateur. L'autorite tutelaire ayant refuse de ratifier la vente, Fuhrimann a consenti a payer un prix plus eleve et les parties ont signe deux nouveaux actes de vente avec le ministere du notaire Rhyn en date du 5 fevrier 1918. Fuhrimann a fait d'im- portantes eonstructions et runeliotations sur fes immeubles achetes par lui - sans d'ailleurs que ceux-ci eussent encore ete inscrits a son nom. Lorsqu'il a requis l'inscription, Ferrat s'y es( oppose, alleguant que Rhyn n'avait pas rec;u mandat de vendre et que les actes de vente etaient nuls pour vices de forme. Entre temps, le notaire Rhyn etant decede, il s'est revele qu'il avait indftment dispose des 18000 fr. touches par lui de Fuhrimann pour le compte des vendeurs. La' succession a ete repudiee; soit Ferrat soit Fuhrimann sont intervenus ponr la creance de 18 000 fr., laquelle ne touchera qu'un. faible dividende ; une reclamation adressee en outre a la Societe bernoise de cautionrtetnent mutuel du chef de la caution officielle de Rhyn n'est pas ehCore liquidee. A.S 45 11 - 1919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