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214</w:t>
      </w:r>
    </w:p>
    <w:p>
      <w:r>
        <w:t>Bundesgericht (BGE), 1918-12-13, FR</w:t>
      </w:r>
    </w:p>
    <w:p>
      <w:r>
        <w:rPr>
          <w:b/>
        </w:rPr>
        <w:t xml:space="preserve">Quelle: </w:t>
      </w:r>
      <w:r>
        <w:t>https://mcp.opencaselaw.ch/entscheid/bge_45_II_214</w:t>
      </w:r>
    </w:p>
    <w:p>
      <w:r>
        <w:t>FR: ATF 45 II 214</w:t>
      </w:r>
    </w:p>
    <w:p>
      <w:r>
        <w:t>IT: DTF 45 II 214</w:t>
      </w:r>
    </w:p>
    <w:p>
      <w:pPr>
        <w:pStyle w:val="Heading2"/>
      </w:pPr>
      <w:r>
        <w:t>Volltext</w:t>
      </w:r>
    </w:p>
    <w:p>
      <w:r>
        <w:t>214 Prozessrecht. No 31. VII. PROZESSRECHT PROCEDURE 31. Arrit cle 1&amp; Ire section ciwe clu 8 mai 1919 dans la cause Korgenegg contre lächler. Recours ell retorme. - Valeur litigieuse inferieure a 4000 fr. - Simple renvoi aux ecritures produites devant les In5- tances cantonales. - Recours irrecevable. En septembre 1916, Bächler aassigne Morgenegg en paiement de 152 fr. Le defendeur a conclu a liberation et a reclame reconventionnellement 2450 fr. Jugeant la cause en appel, la Cour de Justice civlle du canton de Geneve a, par arret du 13 decembre 1918, deboute le defendeur de sa demande reconventionnelle et a ach emine le demandeur a faire la preuve par lui offerte en ce qui concerne la somme qu'll reclame a Mor- genegg. L'arret detinitif a ete rendu le 7 mars 1919. Morgenegg a recouru en reforme au Tribunal federal contre l'arret du 13 decembre 1918 en tant qu'il a ecarte ses conclusions reconventionnelles. Le recourant declare l'eprendre les arguments qu'Ü a fait valoir dans ses t-critures en appel des 1;") mai et 13 juin 1918. Considerant-: que la valeur de l'objet du litige n'atteignant pas 4000 fr., le recourant aurait du joindre a sa declaration un memoire motivant son recours, confoDllement a la prescription de l'art. 67, dernier alinea OJF; que, d'apres la' jurisprudence du Tribunal fMera!, de simples references aux ecritures produites devant les instances cantonales ne sauraient remplacer le memoire prevu par la loi (v. entre autres arrels, RO 28 II p.598 et suiv. ; 29 II p. 404 ; WEISS, Berufung, p. 108) ; que le l'ecours est des lors entache d'Ul1 vice de forme qui le rend irrecevable (RO 33 II p. 211). Le Tribunal tederal prolloJ1ce : II n'est pas entre en matiere sur le recours. 32. Urteil cler II. Zivil&amp;bteilung YODl19.'ebrua.r 1919 i. S. lolli gegen lIottinger. Berechnung des Streitwertes wiederkehrender Leistungen (l]ll- terhaltsbeiträge an ein aussereheliches Kind) nach Art. 51, 59, 67 ·OG. Berechnung nach den « Barwerttafeln » von Piccard unter Zu grundlegung eines Zinsfusses von 4 Yz %. A. - Durch Urteil vom 11. Oktober 1918 hat das Obergericht des Kantons Zürich II. Kammer über die Streitfrage: (j Ist der Beklagte als ausserehelicher Vater des von }) der Klägerin am 3. Januar 1918 geborenen Knaben » Jakob zu erklären und als solcher zu folgenden Leistun- i) gen verpflichtet : »1. an die Kindsmutter: »a) für ßntbindungskosten 40 Fr. }) b) für den Unterhalt während vier \Vochen vor » und vier Wochen nach der Geburt je 80 Fr. » 2. an das Kin d : monatliche Unterhaltsbeiträge » von je 30 Fr. monatlich vorauszahlbar, von der Geburt »bis zum zurückgelegten 18. Altersjalu desselben; » alles unter Kosten- und Entschädigungsfolge zu Lasten lides Beklagten ? }) erkannt: » 1. Die Klage wird abgewiesen. . » 2 u. 3. &gt;} (Kosten-.und Entschädigul1gsbestimmungen),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