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382</w:t>
      </w:r>
    </w:p>
    <w:p>
      <w:r>
        <w:t>Bundesgericht (BGE), 1917-10-20, DE</w:t>
      </w:r>
    </w:p>
    <w:p>
      <w:r>
        <w:rPr>
          <w:b/>
        </w:rPr>
        <w:t xml:space="preserve">Quelle: </w:t>
      </w:r>
      <w:r>
        <w:t>https://mcp.opencaselaw.ch/entscheid/bge_43_III_382</w:t>
      </w:r>
    </w:p>
    <w:p>
      <w:r>
        <w:t>FR: ATF 43 III 382</w:t>
      </w:r>
    </w:p>
    <w:p>
      <w:r>
        <w:t>IT: DTF 43 III 382</w:t>
      </w:r>
    </w:p>
    <w:p>
      <w:pPr>
        <w:pStyle w:val="Heading2"/>
      </w:pPr>
      <w:r>
        <w:t>Volltext</w:t>
      </w:r>
    </w:p>
    <w:p>
      <w:r>
        <w:t>Kreisschreiben des Bundesgerichts an die kantonaleD Aufsichtsbehörden über Schuldbetreibung u. Konkurs. - Circulaires du Trihunal federal aux autorites canLonales de surveillance en matiere de poursuiLe pour dettes et raUlite. 7-1. Xreiss::hreiben Nr. 11 vom 20. Oktober 1917. Gegenstand.: Spazialanzeige dar Fahrnissteigerung im ltonkurs a.n die Inhaber von Pfa.ndrechten. Die Schuldbetreibungs- und Konkurskammer hat kürz- lich entschieden*, dass bei der Ansetzung einer Fahrnis- steigerung auch im - ordentlichen oder summarischen - K 0 n kur s verfahren den Inhabern von Pfandrechten an den zu versteigernden Gegenständen Ort und Zeit der Steigerung durch eine besondere Anzeige mitgeteilt werden müsse. Wir geben Ihnen VOll diesem Entscheide für sich und zu Handen der Konkursämter . Ihres Kantons Kenntnis, indem wir Sie einladen, sich künftig daran zu haUen. * Siehe ~r. 52 in dit&gt;sem Band('.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