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373</w:t>
      </w:r>
    </w:p>
    <w:p>
      <w:r>
        <w:t>Bundesgericht (BGE), 1915-01-01, DE</w:t>
      </w:r>
    </w:p>
    <w:p>
      <w:r>
        <w:rPr>
          <w:b/>
        </w:rPr>
        <w:t xml:space="preserve">Quelle: </w:t>
      </w:r>
      <w:r>
        <w:t>https://mcp.opencaselaw.ch/entscheid/bge_41_I_373</w:t>
      </w:r>
    </w:p>
    <w:p>
      <w:r>
        <w:t>FR: ATF 41 I 373</w:t>
      </w:r>
    </w:p>
    <w:p>
      <w:r>
        <w:t>IT: DTF 41 I 373</w:t>
      </w:r>
    </w:p>
    <w:p>
      <w:pPr>
        <w:pStyle w:val="Heading2"/>
      </w:pPr>
      <w:r>
        <w:t>Volltext</w:t>
      </w:r>
    </w:p>
    <w:p>
      <w:r>
        <w:t>372 Staatsrecht. und Wahrheit lediglich die Form, unter der der Globus bestimmte Vermögensbestandteile besitzt und verwaltet. Man steht dabei nicht einmal wie in den früheren Fällen einem Strohmann mit eigener rechtlicher Exi- tenz, sondern einer, willkürlich gewählten Gesellschafts- form gegenüber, die formell Trägerin der Rechte ist, über ~ie tatsächlich eine andere Gesellschaft verfügt. Es liesse sICh daher ohne Willkür die Ansicht vertreten, dass diese Beziehung allein schon genüge, um die Rekurrentin für den g a n zen im Grundbuch auf den Namen der Lie- genschaftengenossenschaft eingetragenen Grundbesitz als liegenschaftensteuerpflichtig nach § 137 litt. e des Ge- meindegesetzes zu erklären. Daraus, dass die kantonalen Behörden nicht soweit gegangen sind, sondern die Steuer- p~licht noch von dem weiteren Requisit der Benützung der Llegensc~aften der Genossenschaft für die eigenen Zwecke der Aktiengesellschaft abhängig gemacht und dem- gemäss die Herahziehung der Rekurrentin zur Liegen- schaftensteuer auf einen T eil der Liegenschaften der Genossenschaft beschränkt haben, kann die Rekurrentin keinen Beschwerdegrund ableiten. Wollte man das er- wähnte Kriterium als anfechtbar betrachten so könnte dies nur nach der Richtung der Fall sein, ais es für die Rekurrentin zu günstig ist. Die Zulässigkeit der Steuer- auflage als solcher wird dadurch nicht berührt da um sie mit Art. 4 BY vereinbar. erscheinen zu lass;n, s~hon die übrigen vorstehend erwähnten Momente ausreichen. ~ie An~fIe, welche die Rekursschrift gegen die Annahme em~ zWlsc~en Genossenschaft und Aktiengesellschaft geteIlten EIgentums richtet, erweisen sich daher von vorneherein als unbehelflich . . I?em Vorwurf des Entstehens einer Doppelbesteuerung 1st m der Hauptsache schon durch die von der Regierung angeordnete Revision der Einschätzung der Liegenschaf- tengenossenschaft der Boden entzogen worden. Im ferneren muss, wie bereits bemerkt, auch eine Revision der allge- meinen Einschätzung der Rekurrentin selbst vorbehalten Handels- und Gewerbefreiheit. N° 53. 373 bleiben, wenn und soweit ihre Heranziehung zur Liegen- schaftensteuer bezw. die Behandlung als Ei gen t ü m e r von Liegenschaften, in Bezug auf die sie zugleich GI' u n d- p fan d gl ä u b i ger i n ist, einen Einfluss auf die allgemenie Steuer auszuüben vermag. Demnach hat das Bundesgericht erkannt: Der Rekurs wird abgewiesen. H. HANDELS- UND GEWERBEFREIHEIT LmERTE DU COMMERCE ET DE L'INDUSTRIE 53. Urteil vom 18. November 1915 i. S. Landolt-Frei gegen Einwohnergemeinde Aarau lStädtisohes Elektrizitätswerk), Art. 31 BV. Ausführung der Hausinstallationen im Bereiche der Stromabgabe eines Gemeinde-Elektri- zit ä ts werk es; Statthaftigkeit einer in s achli ch er Weise beschränkten Zulassung der Konkurrenz privater Installationsgeschäfte, sofern die Beschränkung im Interesse des Werkes selbst erfolgt. A. - Die Einwohnergemeinde der Stadt Aarau be- treibt ein Elektrizitätswerk, für dessen Abgabe der elek- trischen'Energie der Gemeinderat am 27. Dezember 1907 ein « Regulativ» erlassen hat. Nach § 8 dieses Regulativs sind die Kosten für die « Hausinstallationen, von den Iso- latoren bei der Einführung der Energie ins Gebäude weg bis zu den Verbrauchskörpern, mit Einschluss diesen, von dem Abonnenten zu bestreiten. Und ans 1 Petentin und der Gemeinderat Wil berufen, bestimmt, ~&gt; dass an Ehefrauen, welche mit ihren Ehemännern in I) ungetrennter Haushaltung leben, nur ausnahmsweise, » wenn besondere Verhältnisse dafür sprechen. ein Patent I) erteilt werden könne; solche besondere Verhältnisse, I) wie z. B. der Umstand, dass es nur mit dem Wirt- I) schaftsbetriebe noch möglich sei, eine grössere Kinder- I) schaar zu erhalten (Fall Brühwiler), werden jedoch im )) konkreten Falle nicht geltend gemacht. Der Ehemann »der Petentin kann gegenteils seinen Beruf als Dach- /) decker ausüben, und es ist anzunehmen,· dass sein I) Einkommen ausreicht, um seine Familie selbst zu &amp; erhalten. «2. Die angeführten Gründe: guter Leumund, unver- » schuldeter Konkurs, sind solche yon täglich wieder- I) kehrender Natur und können vom Regierungsrate, kon- I) stanter Praxis gemäss, nicht gehört werden. » B. - Gegen diesen Beschluss hat Frau Weber-Rütti die staatsrechtliche Beschwerde an das Bundesgericht er- griffen mit dem Antrage, ihn als im 'Viderspruch zu Art. 4 und 31 BV stehend aufzuheben und den st. gallischen Regierungsrat zur Erteilung des nachgesuchten Wirt- schaftspatentes anzuhalten. Es wird ausgeführt: die Be- stimmung des Art. 3 des st. gallischen Wirtschaftsgesetzes sei zu einer Zeit erlassen worden, als die Ehefrau auf Grund des kantonalen Privatrechts noch unter der Vor- mundschaft des Ehemanns gestanden habe. Sie könne daher heute nach dem Inkrafttreten des ZGB nicht mehr aufrechterhalten werden. Nach den Bestimmungen des letzteren sei die Ehefrau voll handlungs- und prozessfähig und könne gleich dem Ehemann selbständig ein Gewerbe betreiben, unter der einzigen Bedingung, dass dieser ihr ausdrücklich oder stillschweigend die Bewilligung dazu gegeben habe, was hier zutreffe. Die blosse Tat- AS 41 I - 1915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