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543</w:t>
      </w:r>
    </w:p>
    <w:p>
      <w:r>
        <w:t>Bundesgericht (BGE), 1915-11-03, FR</w:t>
      </w:r>
    </w:p>
    <w:p>
      <w:r>
        <w:rPr>
          <w:b/>
        </w:rPr>
        <w:t xml:space="preserve">Quelle: </w:t>
      </w:r>
      <w:r>
        <w:t>https://mcp.opencaselaw.ch/entscheid/bge_41_II_543</w:t>
      </w:r>
    </w:p>
    <w:p>
      <w:r>
        <w:t>FR: ATF 41 II 543</w:t>
      </w:r>
    </w:p>
    <w:p>
      <w:r>
        <w:t>IT: DTF 41 II 543</w:t>
      </w:r>
    </w:p>
    <w:p>
      <w:pPr>
        <w:pStyle w:val="Heading2"/>
      </w:pPr>
      <w:r>
        <w:t>Volltext</w:t>
      </w:r>
    </w:p>
    <w:p>
      <w:r>
        <w:t>1. ERBRECHT DROIT DES SUCCESSIONS 68. Arrit de la. IIe Seetion civile du 3 novembre 1915 dans la cause Zbinden contre dame Thalmann-Zbinden. S'agissant d'une indivision constituee avant le 1er janvier 1912, la regle de droit cantonal suivant laquelle ]'indivis survivant recueiIle la part du co-indivis predecede doit trouver son application meme Iorsque le dec~s du co-in- divis est posterieur a l'entree en vigueur du ces· .1.. - Le 21 aoftt 1867 est mort ä. Eggersmatt Jean- J oseph Zbinden, 11 laissait huit enfants: Joseph-Aloys, Benoit-Chrysostome, Jean-Augustin, Ambroise, Jean, Therese, Anne-Marie, et Marie. Sa femme est morte le 27 septembre 1870. Le 19 mars 18831es enfants Zbinden - sauf Marie qui .avait dejä. re en Wirksamkeit am 1. September 1903 beginnen soHte (weil der Vertrag einen aus jener Zeit datierenden er::.etzte), und worin be- stimmt war, dass die Versicherungssumme von 15,000 Fr. « nach dem Tode des Versicherten an seine gesetzlichen Erben» gezahlt werden solle. Der Versicherungsnehmer war im Dezember 1909 Witwer und Vater der Beklagten. Am 1. September 1903 (dem Datum des Abschlusses des ersten Versicherungsvertrags) hatte seine Ehefrau noch gelebt; der damaJige Versicherungsvertrag hatte dieselbe BegÜllstigungsklausel enthalten, wie derjenige vom 9. Dezember 1909. Am 27. November 1911 verheiratete sich Vogel in zweiter Ehe mit der heutigen Klägerin. Anfangs 1912 schloss er ausschliesslich zu Gunsten dieser zweiten Ehefrau eine weitere Lebensversicherung im Be- trage von 10,000 Fr. ab. Im April 1913 wurde er wegen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