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252</w:t>
      </w:r>
    </w:p>
    <w:p>
      <w:r>
        <w:t>Bundesgericht (BGE), 1914-11-12, DE</w:t>
      </w:r>
    </w:p>
    <w:p>
      <w:r>
        <w:rPr>
          <w:b/>
        </w:rPr>
        <w:t xml:space="preserve">Quelle: </w:t>
      </w:r>
      <w:r>
        <w:t>https://mcp.opencaselaw.ch/entscheid/bge_41_II_252</w:t>
      </w:r>
    </w:p>
    <w:p>
      <w:r>
        <w:t>FR: ATF 41 II 252</w:t>
      </w:r>
    </w:p>
    <w:p>
      <w:r>
        <w:t>IT: DTF 41 II 252</w:t>
      </w:r>
    </w:p>
    <w:p>
      <w:pPr>
        <w:pStyle w:val="Heading2"/>
      </w:pPr>
      <w:r>
        <w:t>Volltext</w:t>
      </w:r>
    </w:p>
    <w:p>
      <w:r>
        <w:t>252 Obligationenrecht. N° 31. Reponse et Demande reconventionnelle de H. J. Reymond est Mclaree bien fonMe jusqu'a concurrence de 1157 fr. 19 c., et que la demande principale se trouve ainsi reduite apres compensation a la somme de 2038 fr. 36 c. avec, interets au taux de 5% des le 20 fevrier 1914. 31. Urteil der I. Zivilabteilung vom 1. Ma.i 1915 i. S. Dreifuss, Kläger, gegen Schwegler, Beklagten. Kau f. Bedeutung der schriftlichen Fixierung des Geschäfts? Dissens über die Art der Gewichtsberechnung (Original- oder EfIektivgewicht im Handel mit Hanf). Art. 212 Abs.3 OR: Vorbehalt besonderer kaufmännischer Uebun- gen mit Bezug auf die Bestimmung des Kaufpreises bei mangelnder Festsetzung durch die Parteien; Feststellung des kantonalen Richters, dass eine U ebung nicht bestehe. A. - Mit Urteil vom 12. November 1914 hat das Handelsgericht des Kantons Aargau die Klagebegehren : « 1. Es sei gerichtlich festzustellen, dass der Beklagte )} am 13. August 1913 mit den Klägern einen Kauf- )} vertrag um 18,000 Fr. abgeschlossen hat, mit folgen- )} dem Inhalt : «( Der Beklagte verpflichtet sieb, den Klägern 2000 Kg. I) Hanf in Strangen prima courante Qualität franko Woh- l) len zum Preise von 9 Fr. gemäss Gewicht in Wohlen, »netto 30 Tage, zu liefern" wovon die erste Sendung » von zirka 500 Kg. lieferbar im September, die Restanz )} im Oktober und November 1913. «( 2. Der Beklagte sei zu verurteilen, den Klägern als »Schadenersatz 7000 Fr. zu bezahlen, nebst 5 % Zins » seit 1. Oktober 1913 von 1750 Fr. und 5 % seit 30. No- i} vember 1913 von 5250 Fr. Feststellung nach richter- »liehern Ermessen vorbehalten. « 3. Es sei den Klägern im Sinne von Ziff. IV 1-2 ») der Klage ausdrücklich das Mehr- und Nachforderungs- » recht vorzubehalten I), abgewiesen. Obligatio~enrecht. N° 31. 253 B. - Gegen dieses Urteil haben die Kläger die Beru- fung an das Bundesgericht erklärt, mit dem Begehren um Aufhebung und um Gutheissung der Klage; eventuell beantragen die Kläger Berücksichtigung ihrer Beweis- anträge, insbesondere Durchführung eines Beweisver- fahrens über das Zustandekommen des Vertrages und die Höhe des behaupteten Schadens. Das Bundesgericht zieht in Erwägung: 1. - Zwischen den Parteien fand am 13. August 1913 in Wohlen eine Besprechung statt über Kauf von 2000 kg Strangen-Hanf durch die Kläger vom Beklagten, zu 9 Fr- per Kilogramm, netto 30 Tage, franko Wohlen, wovon die erste Sendung von zirka 500 Kg. lieferbar im Septem- ber, der Rest im Oktober und November 1913. Gleichen Tages schrieb der Beklagte an die Kläger : « Gemäss unserer heutigen Absprache habe ich Ihnen l) zu liefern : «( 2000 Kg. Hanf in Strangen, prima courante Qualität, )} zum Preise von 9 Fr. netto 30 Tage, franko hier, » 0 r i gin a I g e w ich t. Lieferung: bis zirka 500 Kg. im » September, Rest von zirka 1500 Kg. nach Eintreffen im » Oktober und Növember a. c. Zahlung per Anweisung '} auf 30 Tage netto nach Erhalt der Ware und Faktura.) Die Kläger erwiderten sofort, dass das Originalgewicht (von Manila) bei ihnen nicht in Betracht kommen könne, sie müssten wie immer auf das bei der Ablieferung in Wühlen festzustellende Gewicht abstellen, wovon der Beklagte Vormerkung nehmen wolle. In der darauffolgenden Korrespondenz beharrten beide Parteien auf ihrem Standpunkt. Der Beklagte weigerte sich am 18. August 1913 endgültig, den Vertrag so zu halten, wie die Kläger ihn verstanden wissen wollten; gleichzeitig wiederholte er seine Offerte, die indessen von den Klägern mit der Begründung abgelehnt wurde, dass sie nie Hanf zu Originalgewicht kauften. 254 Obligationenrecht. N· 31. Am 18. September kamen die Kläger auf die Sache zurück, indem sie den Beklagten um Ablieferung der im September lieferbaren 500 Kg. ersuchten. Der Be- klagte antwortete wieder, es sei kein gültiger Vertrag zustandegekommen. Darauf setzte ihm der Vertreter der Kläger mit Zuschrift vom 24. September 1913 eine Frist zur Erfüllung bis Ende des Monates an, ansonst die Kläger ihn wegen Vertragsbruches auf Schadenersatz belangen würden. Da der Beklagte auf seiner Weigerung bestand, reichten die Gebrüder Dreifuss die vorliegende Klage ein, die vom aargauischen Handelsgericht im vollen Umfange abgewiesen wurde. 2. - Mit Recht hat die Vorinstanz den Einwand des Beklagten zurückgewiesen, dass der Vertrag deshalb nichtig sei, weil eine schriftliche Bestätigung der münd- lichen Abrede vorbehalten, die vom Beklagten schrift- lich bestätigte Offerte dann aber durch die Kläger aus- geschlagen worden sei. Das Handelsgericht stellt fest, dass ein solcher Vorbehalt nicht bewiesen sei. Der Vor- behalt in dem vom Beklagten behaupteten Sinne würde sich übrigens nicht als Vereinbarung der Anwendung der Schriftform gemäss Art. 16 OR darstellen, sondern als einseitige, sofortige Bindung der" Kläger, während die Bindung des Beklagten durch eine spätere schriftliche Erklärung bedingt wäre. Der Beklagte hat aber keinen Grund angegeben, weshalb sein Entschluss hätte auf- geschoben werden sollen, während die Kläger gebunden gewesen wären, namentlich nicht etwa, dass ein Dritter sein Einverständnis erklären musste, oder dass Erkun- digungen einzuziehen waren, oder ein anderes Ereignis auf seine Entschliessung einzuwirken hatte. Dass die Verbindlichkeit der einen Partei während gewisser Zeit hätte rein potestativ bedingt sein sollen, während die andere schlechthin verpflichtet war, ist denn auch bei Geschäften, die den Preisschwankungen so sehr unter- worfen sind, wie das vorliegende, nicht anzunehmen. Es erscheint somit als durchaus plausibel, dass die schrift- Obligationenrecht. N° 31. 255 l~che ~xierung des Geschäfts durch den Beklagten ledig- bch dIe Bedeutung der KlarsteIlung und Beweissicherung haben sollte. 3. - Der zw~ite Einwand des Beklagten geht dahin, es ha~e a~ch eme mündliche Einigung zwischen den ParteIen nIcht stattgefunden. Die Vorinstanz hat dieser A.uffassung beigestimmt, aber dennoch den Vertrag ~~cht als absolut nichtig, sondern bloss als wegen Irrtums fur den Beklagten unverbindlich erklärt, was rechts- irrtümlich ist. Ist eine Willenseinigung in dem von der Vorin~tanz angenommenen Sinne wirklich nicht erfolgt, so bleIbt für die Anwendung der Bestimmungen über den Irrtum kein Raum .. Der Vertrag ist alsdann über- ~au~t nic~t zustande gekommen. Die Unterscheidung 1st Im vorlIegenden Falle praktisch deshalb von Bedeu- tung, weil bei Annahme eines Irrtums weiter untersucht werden müsste, ob er ein wesentlicher im Sinne von Art. 24 OR war und ferner, ob nicht die Art. 25 und 26 OR anwendbar wären, die von der Geltendmachung des Irrtums gegen Treu und Glauben und vom fahr- lässigen Irrtum handeln. Diese Prüfung entfällt, wenn es an einer übereinstimmenden gegenseitigen Willens- äusserung der Parteien gemäss Art. 1 OR fehlt. Die Vorinstanz"stellt fest, der Beklagte habe gemeint, es h.andle sich bei der Gewichtsangabe um das Original- gewIcht (von Manila), Jakob Dreifuss dagegen um das Effektiv- oder Ablieferungsgewicht (in Wohlen); weder das eine noch das andere sei erwiesenermassen genannt worden. Dieser Eindruck, den die Vorinstanz insbeson- dere aus der persönlichen Befrllgung der Parteien ge- wonnen hat, steht nicht im Widerspruch mit den Akten, noch mit der Erfahrung des Lebens. Denn da der Be- ~lagte ganz kurze Zeit nach der Besprechung, am näm- hchen Tage, seine Auffassung über das massgebende Gewicht den Klägern mitteilte, ohne dass inzwischen etwas vorgefallen wäre, was eine Willensänderung seiner- seits hätte bewirken können, so ist als natürlich aazu- AS 41 11 - 1915 17 256 Obligationenrecht. N° 31. sehen, jene Auffassung habe seinem Vertragswillen entsprochen; Preisschwankungen - konstatiert die Vor- instanz - haben ihm in der Zwischenzeit keine bekannt werden können; das zeigt auch die spätere Offerte des Beklagten vom 18. August 1913, die zum gleichen Preise von 9 Fr. per Kilogramm erfolgte und nur deshalb aus- geschlagen wurde, weil die Kläger prinzipiell nicht auf Grund des Originalgewichtes abschliessen wollten. In der Verhandlung vor dem Handelsgericht haben denn auch die Kläger ihre Bestreitung, dass der Beklagte seiner Offerte vom 13. August 1913 das Originalgewicht zu- grunde gelegt habe, fallen gelassen und nur in Abrede gestellt, dass er ausdrücklich jenes Wort brauchte. Die Parteien waren also über die Art der Gewichts- berechnung und damit. über ein grundlegendes Element zur Bestimmung des Kaufpreises uneinig. Nun genügt die Nichtübereinstimmung des inneren Willens freilich nicht, um nach Art. 1 ff. OR den Nichtabschluss eines Vertrages anzunehmen. Allein es fehlt hier auch der - nur scheinbar vorhandene - äussere Konsens. Die Art der Gewichtsbestimmung ist in casu ein derart wesentlicher Bestandteil des Vertrages, dass, was nach Aussen erklärt wurde, nicht hinreichend war, um einen rechtsgültigen Kauf zustande zu bringen; dass der Dissens den Parteien selber verborgen war, ist unerheb- lich. Die Frage, ob das Original- oder das Effektivgewicht des Hanfes für den Kaufpreis massgebend sei, ist kein blosser Nebenpunkt im Sinne von Art. 2 OR, sondern ein solcher, bei dessen bewusster Nichtregelung die Par- teien das Geschäft überhaupt nicht abgeschlossen haben würden, also ein wesentlicher Punkt (vergl. OSER, Komm. S.25, ferner S. 18 ff.; VON TUHR in Zeitsehr. f. schw. R., N. F. H'i S. 289 ff.). Die Sache liegt auch nicht so, dass der Inhalt des Vertrages an sich klar und vollständig war, und nur in der Vorstellung des einen Kontrahenten eine unrichtige Auffassung geherrscht hätte. Dann wäre der Beklagte allerdings auf die An- Obligationenrecht. No 31 257 rufung des Irrtums angewiesen. Allein so wie die gegen- seitigen Willensäusserungen der Parteien lauteten, konnte gerade so gut das Gewicht am Versendungsort wie dasjenige am Ort der Ablieferung als massgebend be- trachtet werden, zumal da die Käufer wussten, dass es sich um eine Distanzsendung handelte. Auch der Umstand, dass Frankolieferung vereinbart wurde, ändert daran nichts; denn diese Vereinbarung verweist gerade darauf, dass ein Transport stattfand, dass also zwei Orte für die Gewichtsbestimmung in Betracht kamen. 4. - Die vorhandene Unbestimmtheit könnte nur durch die besonderen kaufmännischen Uebungen gehobeu werden, wie sie Art. 212 OR vorbehält, der von der Bestimmung des Kaufpreises mangels Abrede handelt. Das kantonale Urteil enthält aber eine kategorische Feststellung des Inhalts, es bestehe k ein e Usance, wonach Hanf regelmässig zu Effektivgewicht gehandelt werde; es fänden Abschlüsse mit beiderlei Gewichts- bestimmung (Original- und Effektivgewicht) statt-; eine Regel existiere nicht, sodass von einer Vermutung zu Gunsten dieser oder jener Partei nicht gesprochen werden dürfe. Die Kläger fechten diese Feststellung an und berufen sich auf Rechnungen, denen das Effektivgewicht zu Grunde liege; sie versuchen, daraus auf eine Usance zu schliessen. Wenn aber das Handels- gericht auf anderem Wege, auf Grund seiner Fach- und Lokalkenntnisse, zur Ueberzeugung gelangt ist, es be- stehe eine solche Usance tatsächlich nicht, so entzieht sich jene Erkenntnis der Ueberprüfung durch das Bun- desgericht. Eine derartige Feststellung verstösst nicht gegen Bundesrecht. Sie ist auch nicht aktenwidrig ; denn die kantonale Instanz braucht sich ihre Ueberzeugung nicht allein auf Grund der Prozessakten gebildet zu haben. Eine Rückweisung der Sache an die Vorinstanz zur Beweisabnahme über den Bestand von Usancen im Handel mit Hanf ist daher ausgeschlossen. Der Umstand endlich, dass der Beklagte früher meist nach Effektiv- ~58 Obligationenrecht. N~ 32 gewicht verkauft habe, ist umsoweniger ausschlaggebend, als diese Uebung keine einheitliche war und gerade in neuerer Zeit im Verkehr zwischen dem Beklagten und seinen Abnehmern die Berechnung nach Effektivgewicht fast durchgehends durch die Berechnung nach Original- gewicht ersetzt worden ist. 5. - Nach dem Gesagten entbehrt die vorliegende Klage der rechtlichen Grundlage und ist das abweisende Urteil der Vorinstanz ohne weitere Beweismassnahmen im Dispositiv zu bestätigen. Demnach hat das Bundesgericht erkannt: Die Berufung wird abgewiesen und das Urteil des Handelsgerichts des Kantons Aargau vom 12. November 1914 bestätigt. 3-2 Urteil d.er I. Zivilabteilung vom 7. Mai 1916 i. S. Scheidegger (Aberkennungs)Kläger, gegen Ba.nk in Langenthal (Aberkennungs)Beklagte. Ver b ü r gun gei n e s Ban k k red i i s einer Aktienge- sellschaft. Ein b e z i e h u n gei n e r S c h u I d i n die sen Kr e d i t, die vor der Verbürgung von Organen der Gesell- schaft in privater Stellung zu Gunsten der Bank begründet und nachher von der Gesell~chaft unentgeltlich übernom- men wurde. Ein wen dun gen des für die seS c h u 1 d belangten Kreditbürgen : er habe sich nur für die GesellSchaft verbürgt, die Gesellschaftsorgane seien zur Uebernahmeerklärurig unzuständig und wegen privaten In- teressen disqualifiziert gewesen, das Uebernahmegeschäft habe anormalen Charakter und er habe von der frühern Privatschuld ~llld der beabsichtigten Uebertragung an die G~sellschaft mchts gewusst. Bundesgerichtliche Feststellung semer Kenntnis hievon nach Art. 82 0 G. Frage ob die Unkenntnis für die Eingehung der Bürgschaft kau s al gewesen wäre. L - Im Jahre 1903 gab die Holzwarenfabrik A.-G. in Murgenthai zur Vermehrung ihrer Betriebsmittel 300 Obligationenrech'. 1: 032. 259 Prioritätsaktien im Nominalwerte von je 250 Fr., zusam- men 75,000 Fr. aus, die sämtliche von den Verwaltungs- räten Oberst Künzli-Nussbaum, Rudolf Stauffer, His- Veillon. Weber-Künzli und A. Locher und dem Direktor R. Fretz gezeichnet wurden. Das Geld zur Lilierierung der Titel beschafften sich die Zeichner bei der heutigen Beklagten, der Bank in Langenthai A.-G. Sie stellten ihr zu diesem Behufe eine Schuldurkunde aus, worauf ihnen die Bank einen Kredit von 75,000 Fr., in ihren Büchern eingetragen als Konto Künzli-Nussbaum und Konsorten, eröffnete. Der Kredit wurde sofort zur Lilie- rierung der Titel voll in Anspruch genommen und durch Uebergabe dieser zu Faustpfand gesichert. Im November 19015 starb Oberst Künzli. Ueber seinen Nachlass wurde ein amtliches Güterverzeichnis aufge- nommen, worauf die Beklagte ihre Konto-Korrentforde- rung im damaligen Betrage von 69.531 Fr. 50 Cts. Wert 31. Dezember 1908, samt Zins zu 5 % von da an, an- meldete. Wie aus einem Briefe des Verwaltungsrates Weber-Künzli an Direktor Fretz vom 17. Januar 1909 zu entnehmen ist, hielt jener darauf, dass (I dieser grosse Posten» nicht im Güterverzeichnis figuriere. Fretz unter- handelte dann in der Sache - laut einem Briefe der Holzwarenfabrik an die Beklagte vom 4. Februar und einem solchen der Beklagten an die Fabrik vom 5. Fe- bruar 1909 - sowohl mit Weber-Künzli als mit der Beklagten, und es wurde in der Folge zwischen den Be- teiligten vereinbart, dass die Konto-Korrentschuld von der Fabrik übernommen werde und die bisherigen Schuldner sich für diese als Bürgen verpflichten sollten. Zu diesem Zwecke unterzeichneten Stauffer, His- VeiIlon, W eber-Künzli und Fretz zu Gunsten der Beklagten eine Bürgschaftsurkunde mit Faustpfandverschreibung vom 10. Februar 1909, wonach sie sich als solidarische Bürgen und Selbstzahler erklärten « für Konto-Korrent- und andere Kredite, welche die Bank in Langenthai der Firma Holzwarenfabrik A.-G. in Murgenthai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