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431</w:t>
      </w:r>
    </w:p>
    <w:p>
      <w:r>
        <w:t>Bundesgericht (BGE), 1914-01-01, DE</w:t>
      </w:r>
    </w:p>
    <w:p>
      <w:r>
        <w:rPr>
          <w:b/>
        </w:rPr>
        <w:t xml:space="preserve">Quelle: </w:t>
      </w:r>
      <w:r>
        <w:t>https://mcp.opencaselaw.ch/entscheid/bge_40_II_431</w:t>
      </w:r>
    </w:p>
    <w:p>
      <w:r>
        <w:t>FR: ATF 40 II 431</w:t>
      </w:r>
    </w:p>
    <w:p>
      <w:r>
        <w:t>IT: DTF 40 II 431</w:t>
      </w:r>
    </w:p>
    <w:p>
      <w:pPr>
        <w:pStyle w:val="Heading2"/>
      </w:pPr>
      <w:r>
        <w:t>Volltext</w:t>
      </w:r>
    </w:p>
    <w:p>
      <w:r>
        <w:t>430 Prozessrecht. N° 75. 3. - Si la tendanee de la doctrine et des legislations modernes est aujourd'hui de ne pas restreindre le pour- voi en revision aux cas OU le requerant a trouve des moyens de preuve qu'll n'avait pu presenter en cours de procedure, mais de l' etendre a la decouverte de faits nouveaux (voir JAEGER, Revision des Bundesgesetzes über die Organisation der Bundesrechtspflege, Motive, p. 90 et suiv.), il n'est pas moins eertain que la loi de procedure civile federale de 1850, eomme du reste les Iegislations allemande et fram;aise, ne prevoient la possibilite de la revision que dans la premiere de ees alternatives; on ne saurait done, par analogie, admettre l'application d'un moyen exeeptionnel a un cas non prevu expressement par la loi et que ceUe-ci n'avait eertainement pas voulu introduire; la demande de revision doit, en consequence, etre rejetee. Par ces motüs, Le Tribunal federal prononce: La demande de revision est rejetee. VII. SCHULDBETREIBUNGS- UND KONKURSRECHT POURSUITES ET FAILLITES Siehe 111. Teil N° 50--54. - Voir Ille partie n HS 50-54. 1. PERSONENRECHT DROIT DES PERSONNES 76. t1rteil der 11. Zivilabteilung vom 24. September 1914 i. S. Begierungsra.t des Xa.ntons Scha.ffha.usen gegen Ca.rpine. Art. 29 und 43 ZGB. Klage auf Anerkennung des Rechts auf Führung der Adelspartikel « von.». Abweisung der Klage, weil sich ergibt, dass dem Kläger das beanspruchte Recht als solches nicht streitig gemacht, sondern nur die Ein- tragu n g der Partikel in das Zi viI s t an ds regi st er ver- weigert wird, in letzterer Beziehung aber nicht das Bundes- gericht, sondern der Bundesrat kompetent ist. (UebeT den Tatbestand vergl. BGE 35 I N° 68.) A. - Durch Urteil vom 10. Juli 1914 hat das Ober- gericht des Kantons Schaffhausen auf die von Carpine als Kläger gegen den Regierungsrat des Kantons Schaff- hausen als Beklagten gestellte Rechtsfrage: Kommt nicht dem Kläger der Name « Graf Antou von Carpine I), even- luell « Anton von. Carpine» zu ? folgendes, vom Beklag- ten angefochtene, vom Kläger dagegen anerkannte Urteil des Bezirksgerichts Reyat vom 7. März 1914 bestätigt: Der Kläger ist berechtigt, den Namen « Anton von Carpine)} zu führen und es ist dieser Name im Zivilstandsregister einzutragen, dagegen wird er mit seinem Begehren um Zuerkennung des Namens: « Graf von Carpine» abgewiesen. B. - Gegen das obergerichtliehe Urteil hat der Regie- rungsrat des Kantons Schaflhausen rechtzeitig die Be- rufung an das Bundesgericht ergriffen, mit dem Antrag auf Abweisung der Klage. C. - Der Kläger hat Abweisung der Berufung und Bestätigung des angefochtenen Urteils beantragt. AS 40 Ir - 19f5 30 432 Personenreeht. N° 76. Das Bundesgericht zieht in Erwägung: 1. - Da der Kläger das Recht beansprucht, sich « _\nton von Carpine)} zu nennen, und er behauptet, dieses Hecht ,,'erde ihm vom Regierungsrat des Kan- tons SchafThausen im Sinne des Art. 29 ZGB bestritten, so ist der Zivilrichter, und als Berufungsinstanz speziell auch das Bundesgericht, zur Behandlung der Streitsache kompetent, und zwar, nach Art. 61 sO\vie in analoger Anwendung des Art. 62 OG, ohne Rücksicht auf den Streitwert. Dagegen muss die Klage ab g e wie sen werden, wenn sich ergibt, dass eine Namenrechtsbestrei- tung im Sinne der augeführlen Gesetzesbestimmung in Wirklichkeit gar nicht -vorliegt, und es braucht in die- sem Falle die andere Frage, ob dem Kläger das Recht auf Führung des von ihm beanspruchten Na- mens zustehe, nicht entschieden zu werden. 2. - Zuzugeben ist, dass unter der in Art. 29 ZGB vorgesehenen Namenrechtsbestreitung unter Umständen auch die von einer Behörde als solcher ausgehende Be- streitung des Rechts auf Führung eines Namens ver- standen ,verden kann, also nicht nur die Bestreitung seitens einer Person, die den betreffenden Namen für sich selber beansprucht; denn sonst wäre die spezielle Behandlung dieses letztem ~ Falls in Art. 29 A b s. 2 nicht wohl verständlich. Ob sodann im Kanton Schaff- hausen der Regierungsrat als solcher (d. h. nicht als blosser Vertreter des Fiskus) überhaupt vor den Zivil- gerichten ins Recht gefasst werden könne. ist eine Frage des k a n ton ale n Rechts, die das Bundes- gericht nicht zu überprüfen hat. Ebenso verhält es sich mit der Frage nach der ö r t li ehe n Z u s t ä n- d i g k e i t für derartige, gegen den Regierungsrat ge- richtete Zivilklagen, wenn auch freilich die dabei im vorliegenden Falle von den Schaffhauser Gerichten aufgeworfene Vor frage nach der rechtlichen Natur Personenrecht. N° 70. der Namensklage an sich eine Frage des eidgenössi- schen Rechts war; denn die Kompetenz zur Entschei- dung der Hauptfrage schliesst diejenige zur Beurtei- lung der Vorfrage als solcher in sich. Dagegen ist es Sache des Bundesgerichts, festzustellen, ob überhaupt eine Namenrechtsbestreitung im Sinne des Art. 29 ZGB vorliegt. Diese Voraussetzung trifft nun aber hier nicht zu. Der beklagte Regierungsrat hat in diesem Prozesse, wie schon im Jahre 1909 anlässlich des von Carpine ugriffenen staatsrechtlichen Rekurses, stets erklärt, dass er dem heutigen Kläger das Recht, sich Anton von' Carpine zu nennen, nicht bestreite, sondern dass er nur, entsprechend einer 'Weisung des Bundesrates. die Ein t rag u n g jenes Namens oder, genauer. die Eintragung der Partikel « von)} in das Zivilstands- register verweigern müsse. Streitig ist somit heute, ebenso wie im Jahre 1909, einzig die Frage, ob die Adelspartikel « von t) in das Zivilstandsregister einge- tragen werden müsse oder dürfe. Diese letztere Frage aber kann das Bundesgericht als Berufungsinstanz ehensowenig entscheiden, als es sie damals in seiner Eigenschaft als Staatsgerichtshof entscheiden konnte. Denn, gleichwie dies schon unter der Herrschaft des Zivilstandsgesetzes von 1874 der Fall war, so ist auch seit dem Inkrafttreten des ZGB zur letztinstanzlichen Entscheidung der Frage, welche Art von Tatsachen in die Zivilstandsregister eingetragen werden sollen oder dürfen, bezw. welche Art von Eintragungen als der «Bestimmung der Zivilstandsregister fremd}) er- scheinen (vgl. Art. 7 des Gesetzes von 1874), aus- schliesslich der B und e s rat berufen. Diesem steht noch Art. 43 ZGB, . wie früher nach Art. 12 ZEG ~ die Oberaufsicht über die Führung der Zivilstands- register zu, und seine Kompetenz ist durch das ZGB sogar noch insof~rn erweitert worden, als nunmehr eine Anzahl von Vorschriften über die Führung der Register (z. B. gerade diejenige, die in Art. 7 ZEG ent- 434 Personenrecht. Nu 76. halten war) nicht mehr im Gesetze selber zu finden sind, sondern (nach Art. 39 Abs. 2 ZGB) in die Ver- ordnungskompetenz des Bundesrates fallen. Ist aber zur Bestimmung dessen, was überhaupt in die Zivil- standsregister eingetragen werden darf, letztinstanzlieh der Bundesrat kompetent, so ergibt sich daraus zwin- gend, dass der Weg einer Zivilklage über dieselbe Frage ausgeschlossen sein muss, und dass die Weigerung der zuständigen Verwaltungsbehörde, eine Adelspartikel in das Zivilstandsregister eintragen zu lassen, nicht als Namenrechtsbestreitung im Sinne des Art. 29 ZGB gelten kann. Es verhält sich damit ähnlich wie init andern registerrechtlichen Entscheidungen, z. B. denje- nigen über den Eintrag einer Firma im Handelsregister oder einer beim Abschluss eines Liegenschaftskaufs getroffenen Nebenabr~de im Grundbuch: wenn die Re- gisterbehörde den betreffenden Eintrag aus regi.ster- rechtlichen Gründen verweigert hat, so ist eine Über- prüfung ihres Entscheides durch den Zivilrichter, dessen gegenteiliger Entscheid übrigens schwerlich vollstreck- bar wäre, ausgeschlossen. Diese Auffassung von der Unzulässigkeit der Zivilklage gegenüber Verfügungen der Registerbehörden steht auch im Einklang mit der konstanten Praxis der deutschen Gerichte auf Grund des dem Art. 29 ZGB entsprechenden § 12 BGB; vgl. darüber z. B. GRÜCROTS Beiträge 49 S. 828, Entsch. d. Reichsger. in Zivils. 39 S. 302, STAUDINGER, Anm. 5 b zu § 12 cit.; v. TURR, Bürgerl. Recht I S. 445. Demnach hat das Bundesgericht erkannt: Die Berufung wird gutgeheissen, das Urteil des Ober- gerichts des Kantons SchafIhausen vom 10. Juli 1914 aufgehoben und die Klage abgewiesen. Famllienrecht. N° 77. 11. FAMILIENRECHT DROIT DE FAMILLE 77. A'l'ret da la. IIe seotion oivile du 16 saptambre 1914 dans la cause :Borel, contre Lydiard et consorts. 435 ce art. 392 al. 2 et 368. - Loi rapp. dr. civ. art. 4, 9 et 10. - Nomination par les autorites suisses d'un curator ad litem a un mineur residant en Suisse mais dont le pere est domi- cilie a l'etranger. - Droit applicable en ce qui concerne la puissance patern elle et la tutelle. A. - Arthur-Gordon Lydiard, colonel allglais en re- traite,s'etait marie en 1896 a Wiesbaden avec demoi- selle Marie Chappuis; Hs avaient auparavant passe Ull contrat de mariage etablissant entre eux le regime de la separation de biens avec communaute d'acquets et accordant au conjoint survivant l'usufruit de la moitie des biens laisses par le defunt aussi longtemps qu'il ne se remarierait point. Un fiIs, Arthur Lydiard, est ne de cette union. Dame Lydiard est decedee le 11 avril 1901, laissant a son mari la jouissance des interets de la moi- tie de sa fortune, cette jouissance devant prendre fin le jour Olt celui-ci s'engagerait dans les liens d'un nouveau mariage. Le colonel Lydiard a habite Geneve dt: 1903 a 1908. Presse d'argent, il s'est fait ouvrir en janvier 1907 Ull credit de 7000 fr. porte ensuite a 13000 fr. par Ia Ban- que populaire genevoise, contre cession des Ioyers echus ou a echoir d'un immeuble - sis rue du Mole, a Geneve - appartenant a son fiIs et dont il avait annonce avoir la jouissance integrale; les sieurs de Westerweller, Rigot et Dumont furent charges par les deux parties de la regie de eet immeuble. Le 20 novembre 1907, le colonel 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