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270</w:t>
      </w:r>
    </w:p>
    <w:p>
      <w:r>
        <w:t>Bundesgericht (BGE), 1914-01-01, DE</w:t>
      </w:r>
    </w:p>
    <w:p>
      <w:r>
        <w:rPr>
          <w:b/>
        </w:rPr>
        <w:t xml:space="preserve">Quelle: </w:t>
      </w:r>
      <w:r>
        <w:t>https://mcp.opencaselaw.ch/entscheid/bge_40_III_270</w:t>
      </w:r>
    </w:p>
    <w:p>
      <w:r>
        <w:t>FR: ATF 40 III 270</w:t>
      </w:r>
    </w:p>
    <w:p>
      <w:r>
        <w:t>IT: DTF 40 III 270</w:t>
      </w:r>
    </w:p>
    <w:p>
      <w:pPr>
        <w:pStyle w:val="Heading2"/>
      </w:pPr>
      <w:r>
        <w:t>Volltext</w:t>
      </w:r>
    </w:p>
    <w:p>
      <w:r>
        <w:t>270 Entscheidungen der SChuldbetrelbunas- und Konkurskammer • .; 49. Entscheid vom as. August i. S. Bühler. Art. 56 Ziff. 1 SchKG. Das Verbot der Vornahme von Betrei- bungshandlungen nach 7 Uhr Abends gilt nicht für Zustel- Jungen durch die Post. Die Schuldbetreibungs- und Konkurskammer hat, in Erwägung: dass der angefochtene Entscheid der kantonalen Auf- sichtsbehörde dem Rekurrenten durch Vermittlung des Betreibungsamtes Freienbach zugestellt wurde, dass diese Zustellung nach den vom Instruktionsrich- ter beim Postbureau Oberägeri veranlassten Erhebun- gen am 4. Juli 1914 ,zwischen 7 und 8 Uhr abends er- folgt ist, dass die Vorschrift des Art. 56 Ziff. 1 SchKG, wo- nach Betreibungshandlungen nach 7 Uhr abends nicht vorgenommen werden dürfen, für Zustellungen durch die Post nicht gilt (vergl. JAEGER, Komm., Anm. 5 ad Art. 56), dass der Rekurrent den Rekurs an das Bundesgericht laut Poststempel am 15. Juli 1914 aufgegeben, die ge- setzliche Rekursfrist von 10 Tagen seit der Mitteilung des angefochtenen Entscheides somit nicht eingehalten hat, erka'nnt: Auf den Rekurs wird nicht eingetreten. Entscheidungen der Zivilkammern. N° 50. Entscheidungen der Zivilkammern. - ArreLs des sections civiles. 50. Arret de 180 IIe section civile du a7 mai lS14 dans Ja cause Petitpierre, defendeur, 271 contre Grande Brasserie et Beauregard, demanderesse. En cas de realisation d'un immeuble hypotheque a un prix inferieur a l'estimation du co m mi s s air e duc 0 n- co r d at, le titulaire de l'hypotheque a le droit d'inter- venir au concordat pour la difference a decouvert comme creancier chirographaire (art. 305 et 311 L. P.). En mati~re de c 0 neo r d a t par a ban don d' a c t i f, le debiteur qui amis ses biens a la disposition de ses creanciers est libere de toute obligation ulterieure a l'egard des crean- ciers qui ont ornis de faire valoir leurs droits sur le produit de la realisation de ces biens. A. - Le 3 decembre 1907, la Banque populaire suisse, a Fribourg, a ouvert a Hugo Petitpierre un crMit de 20 000 francs, garanti par le eautionnement solidaire de la Grande Brasserie et Beauregard, et par une gar- dance de dam a coneurrence de 22 500 francs constituee, apres une obligation hypotheeaire de 40 000 francs en faveur de la Caisse d'Epargne de Morat, sur un immeuble appartenant au debiteur et taxe au eadastre 73284 fr. Le 24 j uin 1910, le Tribunal civil du Lac a homologue un concordat conclu entre Petitpierre et ses ereanciers, par lequel le debiteur eMait aces derniers tous ses biens a liquider par l'Office des faillites du Lac, auquel Hait adjointe une commission de deux membres. Dans la procMure de concordat, l'immeuble hypotheque en faveur de la Caisse d'Epargne de Morat et de la Banque populaire, a He estime 75000 francs. Cette esti- mation a He communiquee le 25 avril 1910 a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