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38 II 15</w:t>
      </w:r>
    </w:p>
    <w:p>
      <w:r>
        <w:t>Bundesgericht (BGE), 1912-01-01, FR</w:t>
      </w:r>
    </w:p>
    <w:p>
      <w:r>
        <w:rPr>
          <w:b/>
        </w:rPr>
        <w:t xml:space="preserve">Quelle: </w:t>
      </w:r>
      <w:r>
        <w:t>https://mcp.opencaselaw.ch/entscheid/bge_38_II_15</w:t>
      </w:r>
    </w:p>
    <w:p>
      <w:r>
        <w:t>FR: ATF 38 II 15</w:t>
      </w:r>
    </w:p>
    <w:p>
      <w:r>
        <w:t>IT: DTF 38 II 15</w:t>
      </w:r>
    </w:p>
    <w:p>
      <w:pPr>
        <w:pStyle w:val="Heading2"/>
      </w:pPr>
      <w:r>
        <w:t>Volltext</w:t>
      </w:r>
    </w:p>
    <w:p>
      <w:r>
        <w:t>14 A. Obente Zivilceriehtsinstanz. - I. Materiellrechtliche EntscheiduDpD. n~ bell mten fein mit ber ßenilttung ber ~~e lllUfcUeß mers f~ aur 211ft flillt, bie ~iebefaufna~me, bet ~id)eU ~emeiu. fd)ctft md)t augemutet Werben rann. ~abet ift nur uod) au bemmen, baU aud) eilte ,,~ußfid)t auf eine mnebmereiniguns ber ~~eS(ltten" im flobet 1911, alfo unter her S)enidj$ beß ftüljeru .B~, ~eflilli lj,", fo ~tte fie aweifeUoß biefeß @ef~ (lU3uweuben uub eß f(1nn fidj nur fr(1gen, weId)eß lRed)t baß ~uubeßgeridjt feinem uumu~geu, Uddj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