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37 I 226</w:t>
      </w:r>
    </w:p>
    <w:p>
      <w:r>
        <w:t>Bundesgericht (BGE), 1911-03-30, DE</w:t>
      </w:r>
    </w:p>
    <w:p>
      <w:r>
        <w:rPr>
          <w:b/>
        </w:rPr>
        <w:t xml:space="preserve">Quelle: </w:t>
      </w:r>
      <w:r>
        <w:t>https://mcp.opencaselaw.ch/entscheid/bge_37_I_226</w:t>
      </w:r>
    </w:p>
    <w:p>
      <w:r>
        <w:t>FR: ATF 37 I 226</w:t>
      </w:r>
    </w:p>
    <w:p>
      <w:r>
        <w:t>IT: DTF 37 I 226</w:t>
      </w:r>
    </w:p>
    <w:p>
      <w:pPr>
        <w:pStyle w:val="Heading2"/>
      </w:pPr>
      <w:r>
        <w:t>Volltext</w:t>
      </w:r>
    </w:p>
    <w:p>
      <w:r>
        <w:t>47. Entscheid vom 30. März 1911 in Sachen Fleig. Art. 6 Verordn. d. BG v. 3. Nov. 1910 : Formelle Mangelhaftigkeit eines Rekurses an das Bundesgericht, wenn der angefochtene Ent¬ scheid der Rekurseingabe nicht beigelegt wird. Die Schuldbetreibungs= und Konkurskammer des Bundesge¬ richts hat, in Erwägung: daß der Rekurs als verspätet erscheint, indem der angefochtene Entscheid dem Rekurrenten am 13. März 1911 zugestellt wurde und die gesetzliche Rekursfrist somit am 23. gl. M. ablief, wäh¬ rend der Rekurs erst am 25. März der Post übergeben wurde; daß ferner entgegen Art. 6 der Verordnung betreffend die Beschwerdeführung in Schuldbetreibungs= und Konkurssachen vom 3. November 1910 der angefochtene Entscheid dem Rekurs nicht beiliegt; erkannt: Auf den Rekurs wird nicht eingetreten. * Ges.-Ausg. 36 I S. 114 Erw. 2. IMPRIMERIES REUNIES S. A. LAUSANNE.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