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37 II 336</w:t>
      </w:r>
    </w:p>
    <w:p>
      <w:r>
        <w:t>Bundesgericht (BGE), 1910-12-10, DE</w:t>
      </w:r>
    </w:p>
    <w:p>
      <w:r>
        <w:rPr>
          <w:b/>
        </w:rPr>
        <w:t xml:space="preserve">Quelle: </w:t>
      </w:r>
      <w:r>
        <w:t>https://mcp.opencaselaw.ch/entscheid/bge_37_II_336</w:t>
      </w:r>
    </w:p>
    <w:p>
      <w:r>
        <w:t>FR: ATF 37 II 336</w:t>
      </w:r>
    </w:p>
    <w:p>
      <w:r>
        <w:t>IT: DTF 37 II 336</w:t>
      </w:r>
    </w:p>
    <w:p>
      <w:pPr>
        <w:pStyle w:val="Heading2"/>
      </w:pPr>
      <w:r>
        <w:t>Volltext</w:t>
      </w:r>
    </w:p>
    <w:p>
      <w:r>
        <w:t>46. Arteil vom 7. April 1911 in Sachen Krower &amp; Tynberg, Bekl. u. Ber.=Kl., gegen Ricamisicio Herrmann, A.-G., Kl. u. Ber.=Bekl. Inhalt der Berufungserklärung (Art. 67 Abs. 2 06): Ein Begehren um materielle Abänderung des angefochtenen Urteits als wesent¬ liches Erfordernis ihrer Rechtsgültigkeit. Das Bundesgericht hat auf Grund folgender Aktenlage: A. — Durch Urteil vom 10. Dezember 1910 hat das Kantons¬ gericht des Kantons St. Gallen die Klage im Forderungsbetrage von 2741 Fr. 95 Cts. nebst 5% Zins seit 7. März 1910 gutgeheißen. B. — Gegen dieses Urteil hat die Beklagte rechtzeitig die Be¬ rufung an das Bundesgericht erklärt mit den Anträgen: „1. Es sei das Urteil des Kantonsgerichts aufzuheben. „2. Es sei die Sache zur Beweisabnahme im Sinne der nach¬ „folgenden Berufungsbegründung und zu neuer Beurteilung an „die Vorinstanz zurückzuweisen. (. — Die Klägerin hat auf Abweisung der Berufung ange¬ tragen; in Erwägung, daß die Berufungserklärung der Beklagten der Vorschrift des Art. 67 Abs. 2 OG, wonach in der Erklärung anzugeben inwieweit das kantonale Urteil angefochten wird und welche Ab¬ änderungen beantragt werden, nicht entspricht, da sie kein mate¬ rielles Abänderungsbegehren (um gänzliche Abweisung der Klage oder Herabsetzung des zugesprochenen Betrages) enthält, sondern bloß auf Aufhebung des kantonsgerichtlichen Urteils und Rück¬ weisung der Streitsache zu ergänzender Beweisabnahme gerichtet ist, daß dieser Mangel feststehender Praxis gemäß (vergl. z. B. AS 32 II Nr. 41 Erw. 2 S. 297 und die dortigen Zitate, Nr. 51 S. 402 f.; 33 II Nr. 68 Erw. 3 S. 463 f.) die Rechtsunwirk¬ samkeit der Berufungserklärung zur Folge hat; erkannt: Auf die Berufung der Beklagten wird nicht eingetreten.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