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35 I 252</w:t>
      </w:r>
    </w:p>
    <w:p>
      <w:r>
        <w:t>Bundesgericht (BGE), 1909-03-23, DE</w:t>
      </w:r>
    </w:p>
    <w:p>
      <w:r>
        <w:rPr>
          <w:b/>
        </w:rPr>
        <w:t xml:space="preserve">Quelle: </w:t>
      </w:r>
      <w:r>
        <w:t>https://mcp.opencaselaw.ch/entscheid/bge_35_I_252</w:t>
      </w:r>
    </w:p>
    <w:p>
      <w:r>
        <w:t>FR: ATF 35 I 252</w:t>
      </w:r>
    </w:p>
    <w:p>
      <w:r>
        <w:t>IT: DTF 35 I 252</w:t>
      </w:r>
    </w:p>
    <w:p>
      <w:pPr>
        <w:pStyle w:val="Heading2"/>
      </w:pPr>
      <w:r>
        <w:t>Volltext</w:t>
      </w:r>
    </w:p>
    <w:p>
      <w:r>
        <w:t>44. Entscheid vom 23. März 1909 in Sachen Scheidt. Art. 92 Ziff 2 SchKG: Unpfändbarkeit der Vorhänge im Wohnzimmer des Schuldners. A. Am 20. Februar 1909 belegte das Betreibungsamt Basel¬ Stadt beim Rekurrenten P. Scheidt unter anderm einen Spiegel¬ schrank, eine Nähmaschine und zwei Paar Vorhänge mit Retentions¬ beschlag. Der Rekurrent verlangte durch Beschwerde die Freigabe dieser Gegenstände als Kompetenzstücke. Am 4. März 1909 hieß die kantonale Aufsichtsbehörde die Beschwerde, nachdem sie darüber einen Bericht des Betreibungsamtes eingeholt hatte, insofern gut, als sie den Spiegelschrank freigab, wenn der Gläubiger dem Re¬ kurrenten nicht innert drei Wochen einen andern Kleiderkasten zu Eigentum übertrage, der nach dem Ermessen des Betreibungsamtes zur Aufbewahrung der Kleider des Rekurrenten und seiner Familie ausreiche. Im übrigen wies sie die Beschwerde ab mit folgender Begründung: Daß die Ehefrau des Rekurrenten die Nähmaschine als Berufswerkzeug brauche (wie geltend gemacht wurde), sei nicht bewiesen, und als notwendiges Hausgerät werde sie nicht ange¬ prochen. Vorhänge sodann seien dem Rekurrenten im Schlafzimmer belassen worden; auf mehr habe er nicht Anspruch. B. Diesen Entscheid hat nunmehr der Beschwerdeführer Scheidt rechtzeitig an das Bundesgericht weitergezogen. Die Schuldbetreibungs= und Konkurskammer zieht in Erwägung: 1. Hinsichtlich des Spiegelschrankes verlangt der Rekurrent vor Bundesgericht, daß die dem Gläubiger angesetzte dreiwöchentliche Frist zur Lieferung eines Ersatzstückes abgekürzt werde. Dieses Be¬ gehren ist abzuweisen, da es sich bei der Frage, wie diese Frist unter Würdigung aller Umstände zu bemessen sei, um eine solche der Angemessenheit handelt, die das Bundesgericht nicht nachzu¬ prüfen hat. Übrigens ist der Rekurs in diesem Punkte nun gegen¬ standslos, da die dreiwöchentliche Frist am 4. März 1909 zu laufen begonnen hat und also derzeit abgelaufen ist. 2. Die Angabe der Vorinstanz, der Rekurrent spreche die Näh¬ maschine nicht als notwendiges Hausgerät an, wird vor Bundes¬ gericht nicht als unzutreffend angefochten. Wenn ferner die Vor¬ instanz gestützt auf die Vernehmlassung des Betreibungsamtes es als unbewiesen hält, daß die Ehefrau die Nähmaschine als Berufs¬ werkzeug brauche, so handelt es sich hierbei um die Lösung einer Tatfrage, die, weil nicht aktenwidrig, für das Bundesgericht ver¬ bindlich ist. 3. Die Auffassung der Vorinstanz, der Rekurrent könne nur die Vorhänge im Schlafzimmer und nicht auch die im Wohnzimmer als unpfändbar beanspruchen, ist rechtsirrtümlich. Der Schuldner kann verlangen, daß sein gesamtes häusliches Leben, in allen seinen Außerungen, nicht der Offentlichkeit preisgegeben und den Blicken Neugieriger entzogen sei. Ein gegenteiliger Zustand würde seine persönlichen Gefühle in ungerechtfertigter Weise verletzen; und es müssen deshalb die Vorrichtungen, die notwendig sind, um ihn davor zu schützen, nach Art. 92 Ziff. 2 SchKG als unpfändbar gelten. Im vorliegenden Falle steht außer Frage, daß der Rekurrent der noch streitigen Vorhänge bedarf, um den Einblick in sein Wohn¬ zimmer von der Straße her zu verhindern. Demnach hat die Schuldbetreibungs= und Konkurskammer erkannt: Der Rekurs wird hinsichtlich der Vorhänge im Wohnzimmer begründet und es werden diese als unpfändbar erklärt. Im übrigen wird der Rekurs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