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34 I 386</w:t>
      </w:r>
    </w:p>
    <w:p>
      <w:r>
        <w:t>Bundesgericht (BGE), 1908-01-01, FR</w:t>
      </w:r>
    </w:p>
    <w:p>
      <w:r>
        <w:rPr>
          <w:b/>
        </w:rPr>
        <w:t xml:space="preserve">Quelle: </w:t>
      </w:r>
      <w:r>
        <w:t>https://mcp.opencaselaw.ch/entscheid/bge_34_I_386</w:t>
      </w:r>
    </w:p>
    <w:p>
      <w:r>
        <w:t>FR: ATF 34 I 386</w:t>
      </w:r>
    </w:p>
    <w:p>
      <w:r>
        <w:t>IT: DTF 34 I 386</w:t>
      </w:r>
    </w:p>
    <w:p>
      <w:pPr>
        <w:pStyle w:val="Heading2"/>
      </w:pPr>
      <w:r>
        <w:t>Volltext</w:t>
      </w:r>
    </w:p>
    <w:p>
      <w:r>
        <w:t>386 B. StrafrecbtsptJege. für 'oie ID~arfe infoUleit au~, al~ bae eigentIid)e 'IQarrcllbeHft reid)t. ;-Die analoge IllnUlenl:-ullg auf 'oie ~)crfunftßoe3eid)llungen mu~ ba~er ba3u fü~ren, bie stonfiefation unb lBemid)tung ~ier fOUlett 3uau(affcn, alß 'oie Übertretung reid)t. .f.liefür fann nun nidH aUein auf Illrt. 18 ~(Bf. 3, fonbern eß mUß aud) auf Illrt. 26- ~bf. 2 abgefteUt roerben, bel' baß ~!nBringen ))011 falfd)en .f.ler: tunftßbcöeid)11ungeu auf @efd)1ifte)d)Hbern, lll11uoncen uf"'. ber: bietet. ;-Damit ift aud) ber Umfang ber ,3uliifiigfeit bon jtonfiß~ fation unb lBernid)tung gegeben. ;-Dafj ~rroiigungen :praftifd)er ~atur burd)au6 für biefe ~uß[egung beß @efe~eß f:pred)en, ift nid)t ",etter au6öufü~ren. :Damit emeift jid) 'oie jtaffationßbe~ f d)",erbe aud) in bief em q5unfte a[~ uuoegrünbet. ;-Demuad) ~ai ber stilifation~ljof erfan 11 t: ;-Die staifatiouebefd)roerbe lu!rb aBgeroiffen. IV. Organisation der Bundesrechtspflege. Organisation judiciaire federale. 60. Extra.it da l'a.rret da 1a Cour da cassation pena.la du 9 juin 1908 dans La cause Engel. L'art. 232 chap. 3 LP ne donne pas ouvertut'e a un recours de cassation en vertu des art. 160 et suiv. OJF. Le reeourant pretend que le jugement attaque aurait fait une fausse appJieation des art. 232 ehiff. 3 LP et 47 litt. a de Ia loi eantonale d'exeeution de la LP. Mais, ä ce sujet, 1'on doit reconnaitre que l'art. 232 chiff. 3 LP ne renferme aucune norme de droit penal ; il se borne ä prescrire que Ia publication de l'ouverture de la faHHte doit contenir «la sommation aux debiteurs du failli de l:I'annoneer, sous les peines de droit, dans Ie m~me delai ~ (soit dans Je mois qui suit la publieation). La LP (art. 25 chiff.3) s'en est remise, IV. Organisation der Bundesrechtspßege. N° 60. 387 en revanche, aux cantons du soin d'edicter les prescriptions necessaires poul' donner a ses dispositions une sanction pe- nale; e'est ainsi que Ia Ioi neuchateloise du 21 mai 1891 a, a son art. 47 litt. a) donne au juge de Ia faillite Ia faculte da frapper c d'une amende d'ordre jusqu'ä 50 fr. Ies d6biteurs du failli, qui. dans le mois de Ia publication de Ia faillite, ne se conformeront pas ä l'obligation de s'annoncer, prevue par l'art. 232 § 3° de Ia loi federale ~. Si done une condamnation a ete effeetivement prononeee contl'e le recourant, c'est en application, non pas de I'art. 232 chiff. 3 LP, mais bien de l'art. 47 litt. a de la loi cantonale. L'art. 232 chiff. 3 LP etant ainsi hots de cause, le recourant est dans l'impossibilite d'in- Toquer, pour attaquer le jugement qui aurait ete rendu contre lui le 4 avril 1908, la c violation d'une disposition du droit federal ~. 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