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34 II 106</w:t>
      </w:r>
    </w:p>
    <w:p>
      <w:r>
        <w:t>Bundesgericht (BGE), 1907-11-13, DE</w:t>
      </w:r>
    </w:p>
    <w:p>
      <w:r>
        <w:rPr>
          <w:b/>
        </w:rPr>
        <w:t xml:space="preserve">Quelle: </w:t>
      </w:r>
      <w:r>
        <w:t>https://mcp.opencaselaw.ch/entscheid/bge_34_II_106</w:t>
      </w:r>
    </w:p>
    <w:p>
      <w:r>
        <w:t>FR: ATF 34 II 106</w:t>
      </w:r>
    </w:p>
    <w:p>
      <w:r>
        <w:t>IT: DTF 34 II 106</w:t>
      </w:r>
    </w:p>
    <w:p>
      <w:pPr>
        <w:pStyle w:val="Heading2"/>
      </w:pPr>
      <w:r>
        <w:t>Volltext</w:t>
      </w:r>
    </w:p>
    <w:p>
      <w:r>
        <w:t>16. Arteil vom 25. Jannar 1908 in Sachen Br. &amp; Cie., Kl. u. Ber.=Kl., gegen B., Bekl. u. Ber.=Bekl. Art. 43 06: Wiederherstellung gegen den Ablauf der Berufungsfrist. Das Bundesgericht hat da sich ergeben: A. Durch Urteil vom 13. November 1907 hat das Kantons¬ gericht des Kantons St. Gallen über die Rechtsfrage: „Ist nicht gerichtlich zu erkennen, Beklagter sei pflichtig, der „Klägerschaft als Ersatz für nicht gelieferte Musselin und Prozeß¬ „kosten die Summe von 10,368 Fr. 80 Cts. nebst treffendem „Zins zu bezahlen?“ erkannt: Die Klage ist im Betrage von 5932 Fr. 40 Cts. nebst 5% Zinsen von 1248 Fr. 65 Cts. seit 28. Mai 1906 geschützt, im übrigen abgewiesen. Beklagter ist berechtigt, den ihm aus Waren¬ lieferungen gutkommenden Betrag von 4683 Fr. 85 Cts. mit vorstehender Forderung zu verrechnen. B. Gegen dieses Urteil haben die Kläger am Tage nach Ab¬ lauf der Berufungsfrist die Berufung an das Bundesgericht er¬ klärt mit dem Antrag auf Gutheißung der Klage im vollen Be¬ trage, „das heißt im Betrage von 13,308 Fr. 80 Cts. nebst „treffendem Zins“ Gleichzeitig hat der Vertreter der Kläger ein Gesuch um Wie¬ derherstellung gegen die Folgen der Versäumung der Berufungs¬ frist eingereicht. Dieses Gesuch wird damit begründet, daß zufolge der geschäftlichen Krise in Amerika die st. gallischen Stickereiexpor¬ teure zur Zeit geschäftlich ganz außerordentlich in Anspruch ge¬ nommen seien. So habe gerade im klägerischen Geschäft am Tage der Fristversäumnis der Teilhaber Aug. Br. bis abends 11 Uhr „unverschuldeten Geschäfts= und Zwangs¬ gearbeitet. Infolge dieser lage“ sei der genannte abgehalten gewesen, dem Anwalte recht¬ zeitig Auftrag zur Ergreifung der Berufung zu geben „bezw. dessen Notiz auf dem Urteilsrezesse über den Ablauf der Be¬ rufungsfrist zu beachten“: in Erwägung: 1. Daß großer Geschäftsandrang nicht als ein der rechtzeitigen Berufungserklärung entgegenstehendes Hindernis im Sinne von Art. 43 OG erscheint; 2. daß denn auch nach der Begründung des Restitutionsgesuches die Fristversäumnis im vorliegenden Falle nicht auf eine infolge Geschäftsandranges eingetretene Unmöglichkeit, sondern vielmehr auf eine Vergeßlichkeit zurückzuführen ist, wobei der Geschäfts¬ andrang lediglich als Entschuldigungsgrund in Betracht kommen könnte; 3. daß aber eine Berücksichtigung solcher Entschuldigungsgründe im Gesetze nicht vorgesehen ist; 4. daß somit, insofern es sich um Versäumung der Berufungs¬ frist durch die Teilhaber der klägerischen Firma handelt, ein ge¬ setzlicher Restitutionsgrund nicht vorliegt 5. daß unter diesen Umständen nicht zu untersuchen ist, ob die Berufungserklärung nicht auch von dem zur Prozeßführung be¬ vollmächtigten Anwalte hätte abgegeben werden können;</w:t>
      </w:r>
    </w:p>
    <w:p>
      <w:r>
        <w:t>6. daß nach dem gesagten das Restitutionsgesuch als unbe¬ gründet erscheint und daher auf die Berufung wegen Verspätung nicht einzutreten ist; erkannt: Das Restitutionsgesuch wird abgewiesen.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