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33 I 487</w:t>
      </w:r>
    </w:p>
    <w:p>
      <w:r>
        <w:t>Bundesgericht (BGE), 1907-07-04, FR</w:t>
      </w:r>
    </w:p>
    <w:p>
      <w:r>
        <w:rPr>
          <w:b/>
        </w:rPr>
        <w:t xml:space="preserve">Quelle: </w:t>
      </w:r>
      <w:r>
        <w:t>https://mcp.opencaselaw.ch/entscheid/bge_33_I_487</w:t>
      </w:r>
    </w:p>
    <w:p>
      <w:r>
        <w:t>FR: ATF 33 I 487</w:t>
      </w:r>
    </w:p>
    <w:p>
      <w:r>
        <w:t>IT: DTF 33 I 487</w:t>
      </w:r>
    </w:p>
    <w:p>
      <w:pPr>
        <w:pStyle w:val="Heading2"/>
      </w:pPr>
      <w:r>
        <w:t>Volltext</w:t>
      </w:r>
    </w:p>
    <w:p>
      <w:r>
        <w:t>486 C. Entscheidungen der Schuldbetreibungs- und Konkurskammer. Olt ®uttannen 6i~ ,3unerlfird}en 1mb i9m Ru~ I! flüffe, b. 9. 'ocr ®abmenaar, be~ ®enta(~ll)affer~ uub be!3 Ur= ,,6acf)hi(roaffer~, nüioneU nu~oar au lltacf)cn./1 SDa&amp;ei nal)m er ~e3u~ auf ein 1&gt;1.'11 i9m fe!)on am 28. 2(prH 1899 eingereicf)tcG ®efud) um ~rtei(t1l1g 'ocr ~ergroetf!3rQI13effion 3Ut: lllußbeutultg bQn ~ifener3 nnb @jenftein im Illmt§6eatrt 06er9a§li unb fÜ9rte be~ nlil)eten aUß, bau er aur @ifengeluinnung ein 6ereit~ pmf: ttfcf) erprobte~ efeftrife!)e~ 6cf)meIöl&gt;erfa9ren anauroenben liealifid}: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