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428</w:t>
      </w:r>
    </w:p>
    <w:p>
      <w:r>
        <w:t>Bundesgericht (BGE), 1907-05-07, DE</w:t>
      </w:r>
    </w:p>
    <w:p>
      <w:r>
        <w:rPr>
          <w:b/>
        </w:rPr>
        <w:t xml:space="preserve">Quelle: </w:t>
      </w:r>
      <w:r>
        <w:t>https://mcp.opencaselaw.ch/entscheid/bge_33_I_428</w:t>
      </w:r>
    </w:p>
    <w:p>
      <w:r>
        <w:t>FR: ATF 33 I 428</w:t>
      </w:r>
    </w:p>
    <w:p>
      <w:r>
        <w:t>IT: DTF 33 I 428</w:t>
      </w:r>
    </w:p>
    <w:p>
      <w:pPr>
        <w:pStyle w:val="Heading2"/>
      </w:pPr>
      <w:r>
        <w:t>Volltext</w:t>
      </w:r>
    </w:p>
    <w:p>
      <w:r>
        <w:t>69. Eutscheid vom 7. Mai 1907 in Sachen Wild. Lohnpfändung, Art. 93 SchKG. (Buchhalter eines kaufmännischen Geschäftes.) A. Dem Rekursgegner Paul Wild, Buchhalter in Othmar¬ singen, sind von seinem 150 Fr. monatlich betragenden Lohne 50 Fr. per Monat für verschiedene Gläubiger gepfändet. Seine Ehefrau, die heutige Rekurrentin Elise Wild, die mit einer Ali¬ mentationsforderung zu einer nachfolgenden Gruppe gehört, ver¬ langte unter Berufung auf die Natur dieser Forderung die Pfän¬ dung weiterer 50 Fr. Das Betreibungsamt wies dieses Begehren ab. Im darauffolgenden Beschwerdeverfahren ordnete die erste In¬ stanz die Pfändung weiterer 40 Fr. an, welchen Betrag die zweite infolge Rekurses des Schuldners auf 10 Fr. reduzierte. Der zweitinstanzliche Entscheid führt aus: Der Schuldner müsse sich zwar für die fragliche Alimentationsforderung mehr pfänden lassen, als wenn für eine Forderung anderer Art gepfändet würde. Im¬ etwelche Rücksicht ge¬ merhin müsse auf seine soziale Stellung nommen werden, da er als Buchhalter sich nicht so einfach nähren und kleiden könne, wie z. B. ein italienischer Erdarbeiter. Danach dürften bei strikter Einschränkung, die dem Schuldner als Fami¬ lienvater zugemutet werden müsse, 60 Fr. für Kost und Logis und 30 Fr. für die übrigen Lebensbedürfnisse erforderlich und aus¬ reichend sein, womit noch 10 Fr. für die Alimentationsforderung pfändbar bleiben. B. Diesen am 22. Februar 1907 ergangenen Entscheid hat Frau Wild rechtzeitig an das Bundesgericht weitergezogen mit dem Antrage, in Bestätigung des erstinstanzlichen Entscheides 40 Fr. monatlich als pfändbar zu erklären. Die Schuldbetreibungs= und Konkurskammer zieht in Erwägung: Rechtlich zutreffend hat die Vorinstanz bei der Bestimmung des unpfändbaren Lohnbetrages auf die soziale Stellung des Schuldners insoweit Rücksicht genommen, als der Buchhalter eines kaufmän¬ nischen Geschäftes sich nicht so einfach kleiden und nähren könne, wie etwa ein Erdarbeiter. Eine gewisse Lebenshaltung bildet eben hier die Voraussetzung dafür, sich die Berufsausübung zu er¬ möglichen oder zu sichern. Im übrigen handelt es sich bei der Prüfung, ob die Vorinstanz noch unter ein Existenzminimum von 90 Fr. hätte gehen können, nach der Sachlage um eine reine Angemessenheitsfrage, die der bundesgerichtlichen Kognition nicht unterliegt. Die weitere Frage endlich, ob die Natur der betriebenen Forderung bei der Ausmessung der Kompetenz mit in Betracht fallen könne oder nicht, ist zwar eine solche der Gesetzmäßigkeit, spielt aber für den Rekurs keine Rolle, nachdem die Vorinstanz sie zu Gunsten der Rekurrentin gelöst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