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 148</w:t>
      </w:r>
    </w:p>
    <w:p>
      <w:r>
        <w:t>Bundesgericht (BGE), 1906-01-01, FR</w:t>
      </w:r>
    </w:p>
    <w:p>
      <w:r>
        <w:rPr>
          <w:b/>
        </w:rPr>
        <w:t xml:space="preserve">Quelle: </w:t>
      </w:r>
      <w:r>
        <w:t>https://mcp.opencaselaw.ch/entscheid/bge_32_I_148</w:t>
      </w:r>
    </w:p>
    <w:p>
      <w:r>
        <w:t>FR: ATF 32 I 148</w:t>
      </w:r>
    </w:p>
    <w:p>
      <w:r>
        <w:t>IT: DTF 32 I 148</w:t>
      </w:r>
    </w:p>
    <w:p>
      <w:pPr>
        <w:pStyle w:val="Heading2"/>
      </w:pPr>
      <w:r>
        <w:t>Volltext</w:t>
      </w:r>
    </w:p>
    <w:p>
      <w:r>
        <w:t>148 B. Strafreehtspßege. fügung (uergL ~. :Ren!&gt;!il, }8uni)e~\)eru&gt;(\rtung~ftr(\fredjt, ~.131). mUeht ba6 D6,ergeridjt ~at iliefem I!lrgumente nou, beigefügt, e~ läge ü6er~(\u:pt au einer S)er(\bfe~ung iler }8uUe feine ?Smmlnffung t&gt;or I unb ilamit bie U:r\lge nudj materieU erlebigt. ~entnlldj ~,tt ber ,rellfflltton6~of erf!lnnt: I!luf nie ,re erbe wirb aum :teil (n!ldj Wla&amp;gaoe iler \)orfte~cnben &amp;ru&gt;ägung 2) nidjt eingetreten; im ü6rigen wirb fie Ilbgcu&gt;iefen. n. Markenrecht. Karques de fabrique et de commerce. 20. Arret da la. Cour da ca.ssa.tion du 13 fevrier 1906 dans la cause Bey at consort, Tee., contre J'a.cca.rd et consorts, int. Inadmissibilite d'un recours en cassation contre une ordonnance du juga d'instruction exigaant un cautionnement. - Recours contre un a.rret de non-lieu ensuita d'une plainte penale pour violation de la loi fM. sur les marques da fabrique, etc. Qualite pour agir. - Extinction du droH a la marque. - Vio- lation da la marque « Chartreuse », consistant dans le fait de vendre de Ia marchandise sous Ia denomination « Chartreuse », provenant du liquidateur et non des peres Chartreux. Sous date du 15 juin 1898, Celestin-Marius Rey, alors re- ligieux au couvent de Ia Grande-Chartreuse, s'est fait trans- ferer par A. Grezier, procureur du dit couvent, les marques deposees en Suisse au Bureau de Ia propriete industrielle sous numeros 10169 a 10176, et a fait inscrire en outre en son nom Ies marques sous numeros 10 177 a 10 181. A la suite de Ia Ioi fran . II suit de la que le jugement fran ef,. ;1ettionsfetmmer be~ Oliergeridjts beß jtCtntons Büridj über bie :m:nflage: "lBudjer ~Clt in ben illtennten m:uguit unb lSeptembrr 1903 ."bet ber %irmCt IR. S)ndjbana in üffeuliurg 141 IStüd ülift,. "mü~reu anfertigen letffen, weldje bie fennaeidjnenben @igentüm. fllic9~eiten bes eibgenöffifdjeu ~Clteute~ 91r. 11,841 beß molf ,,,S)ettner, smed)Ctuifer in IRtdjterßUlU, bCtß feIgenben m:nfpruct) ,.,,~at: ~tne üliftmü~re, baburd) gefennacid)net, bCt~ ber ben ~in. '1,füUtridjter unb bie (5peifewCtlac ent~etItenbe überteH unb ber bie ,,1Sd)Ctlier ent~altenbe faftenförmige Unterten fdjarnierbCtr mit bem ,,,m:rbeitßUlCtfoengeftell I,)erbunben finb, io bet% fie awed~ %reifegung 1/ i:ler tnneren lBeftCtnbteiIe Ctuf. beaw. ntebergetla:ppt unb aud) liei ,1IS)eraußnet9me be~ (5djarnierbolaen~ gema »om ?!BCtlaengeftell ent,.. AS 32 I - 1906 11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