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620</w:t>
      </w:r>
    </w:p>
    <w:p>
      <w:r>
        <w:t>Bundesgericht (BGE), 1904-11-18, DE</w:t>
      </w:r>
    </w:p>
    <w:p>
      <w:r>
        <w:rPr>
          <w:b/>
        </w:rPr>
        <w:t xml:space="preserve">Quelle: </w:t>
      </w:r>
      <w:r>
        <w:t>https://mcp.opencaselaw.ch/entscheid/bge_30_II_620</w:t>
      </w:r>
    </w:p>
    <w:p>
      <w:r>
        <w:t>FR: ATF 30 II 620</w:t>
      </w:r>
    </w:p>
    <w:p>
      <w:r>
        <w:t>IT: DTF 30 II 620</w:t>
      </w:r>
    </w:p>
    <w:p>
      <w:pPr>
        <w:pStyle w:val="Heading2"/>
      </w:pPr>
      <w:r>
        <w:t>Volltext</w:t>
      </w:r>
    </w:p>
    <w:p>
      <w:r>
        <w:t>81. Urteil vom 18. November 1904 in Sachen Silingardi, Bekl. u. Ber.-Kl., gegen Lenz &amp; Cie., Kl. u. Ber.=Bekl. Streitwert bei Widerspruchsklagen. Art. 59 06, Art. 106, 109 Sch G. Das Bundesgericht hat, nachdem sich ergeben: A. Durch Urteil vom 31. Oktober 1904 hat das Appellations¬ gericht des Kantons Basel-Stadt in Gutheißung der Klage fest¬ gestellt, daß die bei F. Rueb=Lapp für eine 1378 Fr. 75 Cts. betragende Forderung des Beklagten gepfändete Forderung gegen Samuel Walti im Nominalbetrage von 3017 Fr. 52 Cts., vom Pfändungsbeamten auf 100 Fr. geschätzt, kraft Zession den Klägern zustehe. B. Gegen dieses Urteil hat der Beklagte rechtzeitig die Beru¬ fung an das Bundesgericht ergriffen mit dem Antrag auf gänz¬ liche, eventuell teilweise Abweisung der Klage; in Erwägung: 1. Daß nach konstanter Praxis des Bundesgerichtes bei Wider¬ spruchsklagen der Streitwert sich nach der amtlichen Schatzung des Streitgegenstandes richtet; 2. daß dieser Grundsatz auch auf Forderungen Anwendung zu finden hat 3. daß somit der Streitwert im vorliegenden Falle nur 100 Fr. beträgt; 4. daß übrigens der vorliegende Prozeß die Forderung von nominell 3017 Fr. 52 nur insoweit beschlägt, als dieselbe Gunsten des Beklagten gepfändet worden ist, d. h. bis zum Be¬ trage von 1378 Fr. 75 Cts., weshalb der in Art. 59 OG ge¬ forderte Streitwert von 2000 Fr. in casu auch dann nicht er¬ reicht wäre, wenn von der amtlichen Schatzung der gepfändeten Forderung abgesehen werden könnte;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