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 29 I 558</w:t>
      </w:r>
    </w:p>
    <w:p>
      <w:r>
        <w:t>Bundesgericht (BGE), 1903-08-07, FR</w:t>
      </w:r>
    </w:p>
    <w:p>
      <w:r>
        <w:rPr>
          <w:b/>
        </w:rPr>
        <w:t xml:space="preserve">Quelle: </w:t>
      </w:r>
      <w:r>
        <w:t>https://mcp.opencaselaw.ch/entscheid/bge_29_I_558</w:t>
      </w:r>
    </w:p>
    <w:p>
      <w:r>
        <w:t>FR: ATF 29 I 558</w:t>
      </w:r>
    </w:p>
    <w:p>
      <w:r>
        <w:t>IT: DTF 29 I 558</w:t>
      </w:r>
    </w:p>
    <w:p>
      <w:pPr>
        <w:pStyle w:val="Heading2"/>
      </w:pPr>
      <w:r>
        <w:t>Volltext</w:t>
      </w:r>
    </w:p>
    <w:p>
      <w:r>
        <w:t>558 B. Entscheidungen der Schuldbetreibungs- 121. Arrel du 19 novembre 1903 dans la cause Caron et consorts. Saisie d'une creance. Applicabilite des art. 106 a. 109 LP.- Admissibilite d'un cumul de deux qualites de creancier. I. - Dame Barbanson-Seve est poursuivie a Ia Chaux-de- Fonds, ensuite de differents sequestres pratiques contre elle,. par deux series de creanciers, la premiere composee de: Maurice Woog, poursuite N° 5348, Yvonne Caron, » »6112, et Jacques Meyer, 1&gt; »61Ml la seconde comprenant: L'Union du Credit de Bruxelles, et la Banque G. D'Aoust. Au profit de la premiere serie d'abord, puis de la seconde,. l'office de la Chaux-de-Fonds a saisi le , ou Ie destinataire le re&lt;}ut eftectivement Ie 9 aout. IH. - Quant au commandemeut de payer, poursuite N° 4532, que I'office de Fribourg avait ä. notifier ä. Gillet ensuite de Ia requisition de poursuite de dame Gabriel en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