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532</w:t>
      </w:r>
    </w:p>
    <w:p>
      <w:r>
        <w:t>Bundesgericht (BGE), 1903-01-01, FR</w:t>
      </w:r>
    </w:p>
    <w:p>
      <w:r>
        <w:rPr>
          <w:b/>
        </w:rPr>
        <w:t xml:space="preserve">Quelle: </w:t>
      </w:r>
      <w:r>
        <w:t>https://mcp.opencaselaw.ch/entscheid/bge_29_I_532</w:t>
      </w:r>
    </w:p>
    <w:p>
      <w:r>
        <w:t>FR: ATF 29 I 532</w:t>
      </w:r>
    </w:p>
    <w:p>
      <w:r>
        <w:t>IT: DTF 29 I 532</w:t>
      </w:r>
    </w:p>
    <w:p>
      <w:pPr>
        <w:pStyle w:val="Heading2"/>
      </w:pPr>
      <w:r>
        <w:t>Volltext</w:t>
      </w:r>
    </w:p>
    <w:p>
      <w:r>
        <w:t>B. Entscheidungen der SchuldbetreibunCs-&gt; L'art. 107 prevoit le cas dans lequel le creancier ou le debiteur eontestent Ia revendication intervenue de Ia part d'un tiers, dans les conditions visees a rart. 106, sur UD objet trouve en la possession du debiteur; dans ce ~as, ~t dans ce cas seulement, c' est au tiers revendiquant qu 11 dOlt etre imparti delai pour intenter action. Dans tous les autres&gt; cas, soit toutes les fois que l'objet saisi et sur lequel po~te Ia revendication d'un tiers, ne se trouve pas en la posseSSIOD du debiteur ou se trouve en la possession du debiteur en meme temps qu'en Ia copossession du tiers revendiquant, c' est au ereander saisissant qui entend contester la re~en­ dieation intervenue, a prendre le role de demandeur en JUs- tice aux termes de l'art. 109 LP. , T' Or, de l'aveu meme des reeourants, ce nest. pas Ia VIlle de Lucerne poursuivie qui se trouve en posseSSIOn de.la part. d'immeubles saisie; c'est done ä. bon droit que l'auto~te can- tonale adeeide que c'etait, non aux tiers revendiquants,. mais aux recourants eux-memes, a assurner le role de de- mandeurs conformement a l'art. 109 LP. Par ces motifs, La Chambre des poursuites et des faillites prononce: Le recours est ecarte. 114. Am:1t du 10 novembre 1903 dans la cause Roch. Saisie de salaire. Delai de plainte, art. 17 LP. - Competences dn Trib. fed., art. 19 eod. 1. _ Dans les poursuitesNoS 80333 et 95 876 dirige~s eontre le recourant par les sie urs Dimier et .de Stoutz, se:Ie N0 4453 l'offiee de Geneve a saisi le cin om 10. ilCo\&gt;ember 1903 in C5nd)en ilCe u burger &amp; (He. Betreibung gegen eine Ehefrau, die Handelsfrau (im Sinne des Art.35 O.-R.) ist. RüokweisungJ weil die obere kantonale A.ufsichtsbehörde sich übel' erhebliche tatsächliche Verhältnisse noch nicht ausge- sprochen hat. I. ~ie lJMurtt'llten ilCeu6urger &amp; ~ie. l)atten gegen bte ~l)e:; frau be~ staf~llr ~ietIiGbad) in Bufiton für eine ~orberung \&gt;on 522 %r. 30 ~tß. beim ?8etreibungßamt Bufifon .?Betreibung Iln: gel)oben unb er\1.1irften gegen bie betriebene ®d)ulbnerin unterm 6. C5e:ptember 1902 eine lßfättbung. il(1i3 jie am 13. Suni 1903 1Berwertung ~erIangten, weigerte fief) baG Illmt, bem ?8egcl)ren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