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29 II 199</w:t>
      </w:r>
    </w:p>
    <w:p>
      <w:r>
        <w:t>Bundesgericht (BGE), 1903-01-01, FR</w:t>
      </w:r>
    </w:p>
    <w:p>
      <w:r>
        <w:rPr>
          <w:b/>
        </w:rPr>
        <w:t xml:space="preserve">Quelle: </w:t>
      </w:r>
      <w:r>
        <w:t>https://mcp.opencaselaw.ch/entscheid/bge_29_II_199</w:t>
      </w:r>
    </w:p>
    <w:p>
      <w:r>
        <w:t>FR: ATF 29 II 199</w:t>
      </w:r>
    </w:p>
    <w:p>
      <w:r>
        <w:t>IT: DTF 29 II 199</w:t>
      </w:r>
    </w:p>
    <w:p>
      <w:pPr>
        <w:pStyle w:val="Heading2"/>
      </w:pPr>
      <w:r>
        <w:t>Volltext</w:t>
      </w:r>
    </w:p>
    <w:p>
      <w:r>
        <w:t>198 Civilrechtspßege. ge~a6t, el&gt;entuell, er ~a6e, menn mit ®o~nft~ tn ~aufen i&gt;er" ftor6en, 'oie (!r6fo(ge in feinem ~ao;{ae 'oem lRecfjte, bas in bel' @emeinbe in Straft 6efte~t, beren ~ürger er mar, al~ feinem 4leimatreo;te (L c. m:rt. 6) unterftellt, e0 fei bemgemäg nad) 6un~ be~gefe~nd)er morfd)rift a!t6erntfd)es lRed)t Cluf bie @rbfolge in ben 9(ao;lag be~ I&gt;erftorbenen @rof'jratß ~ueter Cln3umenben unb alfo baß 3meite jtlag.s6ege9ren ber !Berufung0fliigerin 3u3ufpred)en, ba~ ~in ge9en'o: ber nacfj '1lu~fo(gung ber einge6rad)ten @egenftänbe 1mb m:u~3Cl9Iung ber ®ertbiffmn3 übrig6let6enbe 9(Cld)Iaf3 jei unter '\lSar1eien 3U l&gt;erteHen in ber ®eife, bag baß reine mermögen nao; ?i{03ug beß ber jtlägerin legatmeife au~auricfjtenben ~ritteIß alt gIeicfjen :teilen brittelßmeife unter 'oie jtlägerin unb jeben ber ~e~ flagten l&gt;erteUt merbe. ~ispofttil&gt; 9(r. 1 be~ angefocfjtenen UrteW3, erflärt 'oie !Berufung~ffägerin, merbe ber ~erufultg nicfjt unter: 'Il.1orfen. :Den iIreo;tlid)m . mer9ältnijfe ber 9(tebergelaffenen unb l!rufent9ClIter ~at ba~ ~unbe~: gerid)t bie orgefd)t'iebenen merfa9ren au beurteHen. :Va ~ienacfj ber ffaatsrecfjtHd}e lRefur~ allgemein unb i)Oroe~a{tIoß Cl(~ bCl~ienige 9leo;t~mittel 6caetcfjnet mirb, i&gt;ermWefft beften ba~ ~unbesgerid)t gegen ~ede~ungen be~ genannten @efe~e~ ,mgerufen merben fann, ift grunbfli~{icfj ba\lon Clu~3uget)en, b(t~ fpeaiell aUd) 'oie mnfed)~ tung fantona{er @:ii&gt; tI u r t eH e in bief er !Beatet)ung nur burcfj ftMtßted)tlid)e !BefO;luerbe, nid)t aocr Cluf bem ®ege 'ocr cil&gt;iIred)t~ licfjen !Berufung au1iiffig tft. (m:mtl. ®Ig. XXIII, inr. 10, orliegenbe q3ro3e\3 fft UClo; bem 3n~alt ber St{ag~ unb ?IDiber~ VII. Organisation der Bundesrechtspßege. N° 25. 199 tIClg~6ege~ren rein eroreo;tUd)er 9(atur; eine mede~ung I&gt;on !Bun~ be~red)t fte~t (aogefet)en I&gt;on ben Clt~ \)ede~t oe~Clu:pteten ~eftiltt~ mungen be~ @efe~e~ i&gt;om 25. ,Juni 1891) nid)t in ~t\lge; ba6 mecfjt~mitte! ber ~erufung fit fomtt nClcfj m:rt. 57 be~ Drg\tni~ fatton$gefe~e~ unaulliffig. ~emnCld) 9Clt bCl~ ~unbe~gericfj erfanttt: muf 'oie ~erufung mirb nid)t eingetreten. 25. Am~t du 6 mars 1903, dans la Gause Bouchardy et consorts contre Sallin et consorts. Interpretation d'une clause compromissoire. Incompetence du T. F. Art. 56 et 57 OJF. Par citation-demande du 13 aout 1900, Jules Bouchardy, agent d'affaires a Geneve, dame Marie-Caroline veuve de Joseph-Charles Vonderweid a Fribourg, J. Menoud, notaire ä Bulle et les hoirs de Olivier Geinoz, aBulie, ont ouvert ac- tion a Jules Sallin, Fran erben .3~1Uen bemelltfpred)enb femer Bett 1nec9ltung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