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27 I 349</w:t>
      </w:r>
    </w:p>
    <w:p>
      <w:r>
        <w:t>Bundesgericht (BGE), 1901-01-01, DE</w:t>
      </w:r>
    </w:p>
    <w:p>
      <w:r>
        <w:rPr>
          <w:b/>
        </w:rPr>
        <w:t xml:space="preserve">Quelle: </w:t>
      </w:r>
      <w:r>
        <w:t>https://mcp.opencaselaw.ch/entscheid/bge_27_I_349</w:t>
      </w:r>
    </w:p>
    <w:p>
      <w:r>
        <w:t>FR: ATF 27 I 349</w:t>
      </w:r>
    </w:p>
    <w:p>
      <w:r>
        <w:t>IT: DTF 27 I 349</w:t>
      </w:r>
    </w:p>
    <w:p>
      <w:pPr>
        <w:pStyle w:val="Heading2"/>
      </w:pPr>
      <w:r>
        <w:t>Volltext</w:t>
      </w:r>
    </w:p>
    <w:p>
      <w:r>
        <w:t>:348 A. StaatsrcchthcllO Entscheidungen. IIl. Abschnitt. Kantonsverfassungen. möef)te, menn nief)t in S)aft genommen, neue contre Bugnon et consorts (Rec. 00:, XV, 234 suiv., consid. 5). Dans l'espeee, e'est la societe qui est le failli. La contes- tation est done bien soulevee entre la Societe et un action- naire, et e'est a tort que le recourant conelut a. l'inapplica- bilite da l'art. 52 des statuts, duquel decoulait la competenee des tribunaux frangais. Par ces motifs, Le Tribunal federal prononce: Le recours est eearte et le jugement du Tribunal de Com- merce de Ia Seine, du 16 novembre 1897, est declare exe- &lt;cutoire.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