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22 I 27</w:t>
      </w:r>
    </w:p>
    <w:p>
      <w:r>
        <w:t>Bundesgericht (BGE), 1896-01-01, DE</w:t>
      </w:r>
    </w:p>
    <w:p>
      <w:r>
        <w:rPr>
          <w:b/>
        </w:rPr>
        <w:t xml:space="preserve">Quelle: </w:t>
      </w:r>
      <w:r>
        <w:t>https://mcp.opencaselaw.ch/entscheid/bge_22_I_27</w:t>
      </w:r>
    </w:p>
    <w:p>
      <w:r>
        <w:t>FR: ATF 22 I 27</w:t>
      </w:r>
    </w:p>
    <w:p>
      <w:r>
        <w:t>IT: DTF 22 I 27</w:t>
      </w:r>
    </w:p>
    <w:p>
      <w:pPr>
        <w:pStyle w:val="Heading2"/>
      </w:pPr>
      <w:r>
        <w:t>Volltext</w:t>
      </w:r>
    </w:p>
    <w:p>
      <w:r>
        <w:t>8. Urteil vom 27. Februar 1896 in Sachen Regierungsrat von Baselland. A. Durch Schlußnahme vom 12. November 1895 wies der Regierungsrat des Kantons Baselland ein Gesuch des Jakob Honegger=Hintermeister in Pratteln um Bewilligung eines Wirt¬ schaftspatentes ab. Gegen diese Schlußnahme gelangte genannter Honegger=Hintermeister an den Landrat von Baselland. Dieser erklärte sich, entgegen einem vom Regierungsrate gestellten Antrage, als in Sachen kompetent, über die Beschwerde materiell zu ent¬ scheiden, wies jedoch dieselbe unterm 13. Januar 1896 als un¬ begründet ab. B. Unterm 8. Februar 1896 erklärte darauf der Regierungs¬ rat von Baselland den staatsrechtlichen Rekurs an das Bundes¬ gericht mit dem Antrage, es sei der Landratsbeschluß vom 13. Januar 1896 als verfassungswidrig aufzuheben. — Die rekur¬ rierende Behörde führt an, daß über ihre Rekurslegitimation kein Zweifel bestehe. Materiell behauptet sie wesentlich Verletzung des Grundsatzes der Gewaltentrennung resp. der verfassungsmäßigen Kompetenzen des Regierungsrates.</w:t>
      </w:r>
    </w:p>
    <w:p>
      <w:r>
        <w:t>Das Bundesgericht zieht in Erwägung: Laut Art. 59 O.=G. der Bundesrechtspflege vom 27. Brach¬ monat 1874 beurteilt das Bundesgericht als Staatsgerichtshof Beschwerden von Privaten und Korporationen betreffend Verletzung verfassungsmäßiger Rechte. Auf Grund dieser Bestim¬ mung hat das Bundesgericht in ständiger Praxis daran festge¬ halten, daß öffentliche Behörden als solche, insofern sie lediglich staatliche Hoheitsrechte und keineswegs ihnen zu eigenem Rechte zustehende Befugnisse auszuüben hätten, zum Rekurse nicht legi¬ timiert seien (Amtl. Slg. VI, 232; VIII, 448; XI, 259; XVI, 323). Nur insofern solche Behörden Namens und als Vertreter des betreffenden Gemeinwesens auftreten und verfassungsmäßige Rechte desselben als verletzt darstellen, können sie zum staats¬ rechtlichen Rekurse zugelassen werden (A. Slg. X, 498). Das neue Organisationsgesetz sodann hat den geschilderten Rechts¬ zustand nicht verändert; vielmehr bestimmt es in Art. 178, 2 ausdrücklich, daß das Recht zur Beschwerdeführung Bürgern (Privaten) und Korporationen zustehe. Im vorliegenden Falle ist nun Rekurrent der Regierungsrat von Baselland; derselbe tritt auf in seiner Eigenschaft als staatliche Behörde und behauptet, daß ihm als solchem zustehende verfassungsmäßige Rechte verletzt worden seien. In dieser Eigenschaft aber ist er zum staatsrecht¬ lichen Rekurse nicht legitimiert. Demnach hat das Bundesgericht erkannt: Auf den Rekurs wird mangels Legitimation des Rekurrenten nicht eingetreten.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