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102</w:t>
      </w:r>
    </w:p>
    <w:p>
      <w:r>
        <w:t>Bundesgericht (BGE), 1895-01-01, DE</w:t>
      </w:r>
    </w:p>
    <w:p>
      <w:r>
        <w:rPr>
          <w:b/>
        </w:rPr>
        <w:t xml:space="preserve">Quelle: </w:t>
      </w:r>
      <w:r>
        <w:t>https://mcp.opencaselaw.ch/entscheid/bge_21_I_102</w:t>
      </w:r>
    </w:p>
    <w:p>
      <w:r>
        <w:t>FR: ATF 21 I 102</w:t>
      </w:r>
    </w:p>
    <w:p>
      <w:r>
        <w:t>IT: DTF 21 I 102</w:t>
      </w:r>
    </w:p>
    <w:p>
      <w:pPr>
        <w:pStyle w:val="Heading2"/>
      </w:pPr>
      <w:r>
        <w:t>Volltext</w:t>
      </w:r>
    </w:p>
    <w:p>
      <w:r>
        <w:t>15. Urteil vom 26. März 1895 in Sachen Boßard gegen Ersparniskasse Olten und Mithafte. A. Mit Urteil vom 15. Januar 1895 hat das Obergericht des Kantons Solothurn erkannt: Dem Beklagten ist die For¬ derung, welche er bei der gerichtlichen Liquidation vom 17. De¬ zember 1892 über die Verlassenschaft des S. Berger in Olten in der II. Klasse als Mündelgut geltend macht, aberkannt. B. Gegen dieses Urteil erklärte der Anwalt des Beklagten die Berufung an das Bundesgericht mit dem Antrag die Klage ab¬ zuweisen und zu erkennen, es habe bei dem Kollokationsplan zu der Liquidation der erblosen Verlassenschaft des Salomon Berger, wie er vom Konkursamte Olten angefertigt wurde, sein Bewenden; von daher bleibe in der II. Klasse der ausgeschla¬ genen Verlassenschaft des Salomon Berger zur gerichtlichen Li¬ quidation laut Kollokationsplan zu Gunsten des Beklagten Jo¬ hann Boßard dessen Forderung kolloziert: „1. An Baar, herrührend aus einer Police der Fr. 2750 Genevoise 2. An Mobiliar, welches dem Nutznießungsrechte seiner Mutter, der nunmehrigen Frau Katharina Ber¬ ger geb. Ehrler unterstellt ist, laut spezifiziertem Ver¬ Fr. 4751 zeichnis Hievon werden vindiziert die noch vor¬ handenen Effekten, geschätzt laut Verzeichnis Fr. 2957 Der Rest der nicht mehr vorhandenen Gegenstände Fr. 1794 beträgt. Fr. 4544“ Total der Gesamtansprache als Mündelgut. Das Bundesgericht zieht in Erwägung: 1. Der Beklagte Johann Boßard, geb. den 16. Dezember 1874, ist der Sohn des Karl Boßard von Zug und der Katharina geb. Ehrler. Nach dem Tode Bossards verehelichte sich diese letztere mit einem Robert Barmettler in Buochs, und als auch dieser gestor¬ ben war, mit Salomon Berger von Uster, wohnhaft in Olten. Berger starb im Oktober 1892. Über seinen Nachlaß wurde der Konkurs eröffnet. In demselben forderte Advokat Schiffmann¬ Hotz in Baar als Vormund des Beklagten in der II. Klasse: 1. 2750 Fr. an baar; 2. 1794 Fr. als Ersatz für nicht mehr vorhandenes Mobiliar. Die Ansprache wurde vom Konkursamt in der zweiten Rangklasse kolloziert, von der Ersparniskasse Olten und weitern drei Gläubigern Bergers dagegen gänzlich bestritten. Im Kollokationsprozesse machte der Beklagte zur Begründung seiner Ansprache geltend: Er habe aus zwei Lebensversicherungs¬ policen seines Vaters 2750 Fr. erhalten; dieses Baarvermögen des Beklagten sei nach der im Jahre 1889 erfolgten Verhei¬</w:t>
      </w:r>
    </w:p>
    <w:p>
      <w:r>
        <w:t>ratung seiner Mutter mit Salomon Berger an diesen letztern als den Inhaber der väterlichen Gewalt über den Beklagten, ausbe¬ zahlt worden. Nach zugerischem Recht erstrecke sich die väterliche Vormundschaft des Ehemannes auch auf die Stiefkinder. Ferner habe er als Testamenterbe seines Großvaters Michael Boßard Mobilien im Schatzungswerte von 4751 Fr. ererbt, welche ebenfalls als Mündelgut an Salomon Berger übergegangen seien. Von diesen Mobilien seien nur noch solche im Schatzungswerte von 2957 Fr. vorhanden, und werden vom Beklagten vindiziert: für die fehlenden Stücke im Werte von 1794 Fr. verlange er, wie für sein Baarvermögen, die Kollozierung in die II. Klasse. Das Obergericht des Kantons Solothurn hat in seinem eingangs mitgeteilten Urteil die Ansprache nicht nur dem Range nach, sondern auch mit Bezug auf ihre Existenz als unbegründet er¬ klärt, indem es ausführte, es sei nicht bewiesen, daß das Mo¬ biliar, welches von der Mutter des Beklagten zu Salomon Berger nach Olten gebracht worden sei, sich im Eigentum des Beklagten befunden habe. Ebenso sei der Beweis dafür nicht er¬ bracht, daß dem Berger irgend ein Betrag aus dem Baarvermögen des Beklagten zugekommen sei. 2. In erster Linie und zwar von Amtes wegen ist die Kom¬ petenz des Bundesgerichtes zur Beurteilung der vorwürfigen Streitsache zu prüfen. Nach Art. 57 O.=G. kann die Berufung nur darauf gestützt werden, daß die Entscheidung des kantonalen Gerichtes auf einer Verletzung des Bundesrechtes beruhe, sei es in Hinsicht auf die Frage, ob eidgenössisches Recht in concreto überhaupt anzuwenden sei, sei es bezüglich der Art seiner An¬ wendung durch das kantonale Gericht. Nun hat die Vorinstanz ihre Entscheidung nicht auf eidgenössisches Recht gestützt und konnte dasselbe nach der Natur des Streites auch nicht an¬ wenden; denn die vom Beklagten geltend gemachte Forderung gründet sich darauf, daß Berger in seiner Stellung als väter¬ licher Vormund des Beklagten Vermögensbestandteile desselben in seinen Besitz bekommen habe, und daß er zur ungeschmälerten Herausgabe dieses Mündelgutes verpflichtet sei; sie beruht nicht etwa auf einem obligationenrechtlichen Rechtsgrund, sondern auf dem durch die elterliche Vormundschaft geschaffenen Rechtsver¬ hältniß zwischen Berger und dem Beklagten, also auf dem Fa¬ milienrechte und untersteht demzufolge der kantonalen Gesetz¬ gebung. 3. Sofern es sich um die Frage handelte, ob das kantonale Gericht die Bestimmungen des eidgenössischen Schuldbetreibungs¬ und Konkursgesetzes über Kollokation von Forderungen im Kon¬ kurse verletzt habe, wäre das Bundesgericht zur Beurteilung der Berufung allerdings zuständig, allein die Interpretation dieses Gesetzes steht vorliegend nicht in Frage, indem das kantonale Gericht die Existenz der Forderung des Beklagten überhaupt ver¬ neint hat, und daher eine Erörterung darüber, in welche Rang¬ klasse dieselbe einzuweisen sei, von selbst wegfallen mußte. Auch daraus läßt sich die Kompetenz des Bundesgerichtes nicht her¬ leiten, daß die Vorinstanz das Heimatrecht des Beklagten für das Verhältnis zwischen diesem und seinem Stiefvater Berger als an¬ wendbar erklärt hat, trotzdem das Bundesgesetz betreffend die civil¬ rechtlichen Verhältnisse der Niedergelassenen bereits drei Monate vor dem Tode des letztern in Kraft getreten war, und nach diesem Gesetz die elterliche Gewalt sich nach dem Rechte des Wohn¬ sitzes bestimmt. Denn einmal wird das Urteil in dieser Richtung nicht angefochten, und bestünde für den Beklagten auch gar kein Interesse zur Anfechtung. Sodann aber war diese Frage der örtlichen Rechtsanwendung für den Entscheid in der Hauptsache vollständig ohne Einfluß, nachdem das Obergericht gefunden hatte, es sei gar nicht bewiesen, daß Berger das vom Beklagten ge¬ forderte Mündelgut wirklich erhalten habe, und aus diesem Grunde zu Gutheißung der Widerspruchsklage gelangt war. Demnach hat das Bundesgericht erkannt: Auf die Berufung des Beklagten wird wegen Inkompetenz des Bundesgerichtes nicht eingetreten und es hat demnach in allen Teilen bei dem Urteil des Obergerichtes des Kantons Solothurn vom 15. Januar 1895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