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20221011_78630_12 vom 11. Oktober 2022</w:t>
      </w:r>
    </w:p>
    <w:p>
      <w:r>
        <w:t>Bundesgericht (BGE), 2022-10-11, FR</w:t>
      </w:r>
    </w:p>
    <w:p>
      <w:r>
        <w:rPr>
          <w:b/>
        </w:rPr>
        <w:t xml:space="preserve">Quelle: </w:t>
      </w:r>
      <w:r>
        <w:t>https://mcp.opencaselaw.ch/entscheid/bge_20221011_78630_12</w:t>
      </w:r>
    </w:p>
    <w:p>
      <w:r>
        <w:t>FR: BGE 20221011_78630_12 du 11 octobre 2022</w:t>
      </w:r>
    </w:p>
    <w:p>
      <w:r>
        <w:t>IT: BGE 20221011_78630_12 del 11 ottobre 2022</w:t>
      </w:r>
    </w:p>
    <w:p>
      <w:pPr>
        <w:pStyle w:val="Heading2"/>
      </w:pPr>
      <w:r>
        <w:t>Regeste</w:t>
      </w:r>
    </w:p>
    <w:p>
      <w:r>
        <w:t>Regeste Diese Zusammenfassung existiert nur auf Französisch. SUISSE: Art. 14 combiné avec l'art. 8 CEDH. Suppression de la rente de veuf du requérant à la majorité de son dernier enfant, la LAVS prévoyant l'extinction du droit à la rente de veuf lorsque le dernier enfant atteint l'âge de 18 ans, ce qu'elle ne prévoit pas à l'égard d'une veuve. Selon la Cour l'inégalité de traitement dont le requérant a été victime ne saurait passer pour reposer sur une justification raisonnable et objective. Bien que se trouvant dans une situation analogue pour ce qui est de son besoin d'assurer sa subsistance, le requérant n'a pas été traité de la même façon qu'une femme/veuve. Il a donc subi une inégalité de traitement. Le gouvernement n'a pas démontré qu'il existe des considérations très fortes ou des raisons particulièrement solides et convaincantes propres à justifier cette différence de traitement fondée sur le sexe. Pour la Cour, le gouvernement ne peut se prévaloir de la présomption selon laquelle l'époux entretient financièrement son épouse (concept du "mari pourvoyeur") afin de justifier une différence de traitement défavorisant les veufs par rapport aux veuves. À ses yeux, cette législation contribue plutôt à perpétuer des préjugés et des stéréotypes concernant la nature ou le rôle des femmes au sein de la société et constitue un désavantage tant pour la carrière des femmes que pour la vie familiale des hommes (ch. 93-116). Conclusion: violation de l'art. 14 combiné avec l'art. 8 CEDH. N.B. Cet arrêt de la Grande Chambre fait suite à celui du 20.10.2020 d'une chambre. Affaire phare. Inhaltsangabe des BJ (4. Quartalsbericht 2022) Diskriminierungsverbot (Art. 14 in Verbindung mit Art. 8 EMRK); Bundesgesetz über die Alters- und Hinterlassenenversicherung (AHVG), das das Erlöschen des Anspruchs von Witwern auf Witwerrente mit Volljährigkeit des jüngsten Kindes vorsieht, nicht aber von Witwen. Der Fall betrifft die Aufhebung der Witwerrente des Beschwerdeführers mit Volljährigkeit seines jüngsten Kindes. Das AHVG sieht nämlich vor, dass der Anspruch auf eine Witwerrente erlischt, wenn das letzte Kind das 18. Altersjahr vollendet, was es bei einer Witwe nicht vorsieht. Vor dem Gerichtshof berief sich der Beschwerdeführer auf Artikel 14 (Diskriminierungsverbot) in Verbindung mit Artikel 8 der Konvention (Recht auf Achtung des Privat- und Familienlebens) und beschwerte sich, dass er im Vergleich zu verwitweten Müttern, die in der gleichen Situation ihren Rentenanspruch nicht verloren hätten, diskriminiert worden sei. Die Grosse Kammer nahm zunächst Stellung zur Frage der Anwendbarkeit der Artikel 8 und 14 der Konvention. Sie erläuterte ihre Rechtsprechung und die künftig zu befolgende Vorgehensweise bei der Feststellung, ob Rügen betreffend Sozialleistungen unter Artikel 8 der Konvention fallen. Sie stellte fest, dass Artikel 14 in Verbindung mit Artikel 8 der Konvention zur Anwendung kommt, wenn die fraglichen Massnahmen das Familienleben fördern sollen und zwangsläufig Auswirkungen auf seine Organisation haben. Sie befand, dass die Witwerrente das Familienleben des überlebenden Ehemannes fördern solle; sie ermögliche es ihm, sich ganz um seine Kinder zu kümmern, wenn dies zuvor die Rolle der verstorbenen Ehefrau gewesen sei, oder sich in jedem Fall mehr den Kindern zu widmen, ohne sich finanziellen Schwierigkeiten gegenüberzusehen, die ihn zur Aufnahme einer Erwerbstätigkeit zwingen würden. Im Fall des Beschwerdeführers berücksichtigte die Grosse Kammer insbesondere die Tatsache, dass die Töchter des Paares zum Zeitpunkt des Todes der Ehefrau 1994 ein Jahr und neun Monate bzw. vier Jahre alt gewesen sind und dass der Beschwerdeführer seine Arbeitsstelle aufgegeben hat, um sich ganz seiner Familie zu widmen. Der Gerichtshof stellte fest, dass die fragliche Rente das Familienleben des überlebenden Ehepartners fördern soll. Daher gelangte der Gerichtshof zu dem Schluss, dass der vorliegende Sachverhalt unter Artikel 8 der Konvention fällt. In der Sache selbst, d. h. der Frage eines Verstosses gegen das Diskriminierungsverbot, befand die Grosse Kammer, dass der Beschwerdeführer, obwohl er sich in einer vergleichbaren Situation hinsichtlich der Notwendigkeit befand, seinen Lebensunterhalt zu verdienen, nicht auf die gleiche Weise wie eine Witwe behandelt wurde. Er erlitt somit eine Ungleichbehandlung aufgrund des Geschlechts. Die Kammer befand, dass die Regierung keine gewichtigen oder „besonders ernsten und überzeugenden Gründe“ nachgewiesen hat, die diese Ungleichbehandlung rechtfertigen könnten. Nach Ansicht des Gerichtshofs kann sich die Regierung, um eine Benachteiligung von Witwern gegenüber Witwen zu rechtfertigen, nicht auf die Vermutung berufen, dass der Ehemann seine Ehefrau finanziell unterstütze. Er befand, dass diese Gesetzgebung vielmehr zur Aufrechterhaltung von Vorurteilen und Stereotypen bezüglich der Natur oder der Rolle von Frauen in der Gesellschaft beiträgt und eine Benachteiligung sowohl für die Berufstätigkeit von Frauen als auch für das Familienleben von Männern darstellt. Verstoss gegen Artikel 14 in Verbindung mit Artikel 8 der Konvention (12 zu 5 Stimmen).</w:t>
      </w:r>
    </w:p>
    <w:p>
      <w:r>
        <w:t>Regeste SUISSE: Art. 14 combiné avec l'art. 8 CEDH. Suppression de la rente de veuf du requérant à la majorité de son dernier enfant, la LAVS prévoyant l'extinction du droit à la rente de veuf lorsque le dernier enfant atteint l'âge de 18 ans, ce qu'elle ne prévoit pas à l'égard d'une veuve. Selon la Cour l'inégalité de traitement dont le requérant a été victime ne saurait passer pour reposer sur une justification raisonnable et objective. Bien que se trouvant dans une situation analogue pour ce qui est de son besoin d'assurer sa subsistance, le requérant n'a pas été traité de la même façon qu'une femme/veuve. Il a donc subi une inégalité de traitement. Le gouvernement n'a pas démontré qu'il existe des considérations très fortes ou des raisons particulièrement solides et convaincantes propres à justifier cette différence de traitement fondée sur le sexe. Pour la Cour, le gouvernement ne peut se prévaloir de la présomption selon laquelle l'époux entretient financièrement son épouse (concept du "mari pourvoyeur") afin de justifier une différence de traitement défavorisant les veufs par rapport aux veuves. À ses yeux, cette législation contribue plutôt à perpétuer des préjugés et des stéréotypes concernant la nature ou le rôle des femmes au sein de la société et constitue un désavantage tant pour la carrière des femmes que pour la vie familiale des hommes (ch. 93-116). Conclusion: violation de l'art. 14 combiné avec l'art. 8 CEDH. N.B. Cet arrêt de la Grande Chambre fait suite à celui du 20.10.2020 d'une chambre. Affaire phare. Synthèse de l'OFJ (4ème rapport trimestriel 2022) Interdiction de la discrimination (art. 14 combiné avec art. 8 CEDH) ; Loi fédérale sur l'assurance-vieillesse et survivants (LAVS) prévoyant l'extinction du droit à la rente de veuf lorsque le dernier enfant atteint l'âge de 18 ans, ce qu'elle ne prévoit pas à l'égard d'une veuve. L'affaire concerne la suppression de la rente de veuf du requérant à la majorité de son dernier enfant. La LAVS prévoit en effet l'extinction du droit à la rente de veuf lorsque le dernier enfant atteint l'âge de 18 ans, ce qu'elle ne prévoit pas à l'égard d'une veuve. Devant la Cour, le requérant a invoqué l'article 14 (interdiction de la discrimination) combiné avec l'article 8 (droit au respect de la vie privée et familiale) de la Convention, se plaignant d'être victime d'une discrimination par rapport aux mères veuves qui, dans la même situation, n'auraient pas perdu leur droit à une rente. La Grand Chambre a pris position en premier lieu sur la question de l'applicabilité des articles 8 et 14 de la Convention. Elle a précisé sa jurisprudence et la démarche à suivre dorénavant pour déterminer si des griefs relatifs aux allocations sociales tombent sous l'empire de l'article 8 de la Convention. Elle a retenu que l'article 14 combiné avec l'article 8 de la Convention entre en jeu si les mesures en question visent à favoriser la vie familiale et ont nécessairement une incidence sur l'organisation de celle-ci. Elle a estimé que la rente de veuf vise à favoriser la vie familiale du conjoint survivant ; elle lui permet de s'occuper de ses enfants à plein temps si tel était auparavant le rôle du parent décédé, ou, dans tous les cas, de se consacrer davantage à ceux-ci sans avoir à affronter des difficultés financières qui le contraindraient à exercer une activité professionnelle. Dans le cas du requérant, elle a tenu compte en particulier du fait qu'au moment du décès de son épouse en 1994, les filles du couple étaient âgées d'un an et neuf mois et de quatre ans et que le requérant a quitté son emploi pour se consacrer à plein temps à sa famille. La Cour a estimé que la rente en question vise à favoriser la vie familiale du conjoint survivant. Par conséquent, la Cour a conclu que les faits de l'espèce tombent sous l'empire de l'article 8 de la Convention. Sur le fond, à savoir la question d'une violation de l'interdiction de discrimination, la Grande Chambre a considéré que, bien que se trouvant dans une situation analogue pour ce qui est de son besoin d'assurer sa subsistance, le requérant n'a pas été traité de la même façon qu'une veuve. Il a donc subi une inégalité de traitement fondée sur le sexe. Elle a estimé que le Gouvernement n'a pas démontré qu'il existait des considérations très fortes ou des « raisons particulièrement solides et convaincantes » propres à justifier cette différence de traitement. Pour la Cour, le Gouvernement ne saurait se prévaloir de la présomption selon laquelle l'époux entretient financièrement son épouse afin de justifier une différence de traitement qui défavorise les veufs par rapport aux veuves. À ses yeux, cette législation contribue plutôt à perpétuer des préjugés et des stéréotypes concernant la nature ou le rôle des femmes au sein de la société et constitue un désavantage tant pour la carrière des femmes que pour la vie familiale des hommes. Violation de l'article 14 combiné avec l'article 8 de la Convention (12 voix contre 5).</w:t>
      </w:r>
    </w:p>
    <w:p>
      <w:r>
        <w:t>Regesto Questo riassunto esiste solo in francese. SUISSE: Art. 14 combiné avec l'art. 8 CEDH. Suppression de la rente de veuf du requérant à la majorité de son dernier enfant, la LAVS prévoyant l'extinction du droit à la rente de veuf lorsque le dernier enfant atteint l'âge de 18 ans, ce qu'elle ne prévoit pas à l'égard d'une veuve. Selon la Cour l'inégalité de traitement dont le requérant a été victime ne saurait passer pour reposer sur une justification raisonnable et objective. Bien que se trouvant dans une situation analogue pour ce qui est de son besoin d'assurer sa subsistance, le requérant n'a pas été traité de la même façon qu'une femme/veuve. Il a donc subi une inégalité de traitement. Le gouvernement n'a pas démontré qu'il existe des considérations très fortes ou des raisons particulièrement solides et convaincantes propres à justifier cette différence de traitement fondée sur le sexe. Pour la Cour, le gouvernement ne peut se prévaloir de la présomption selon laquelle l'époux entretient financièrement son épouse (concept du "mari pourvoyeur") afin de justifier une différence de traitement défavorisant les veufs par rapport aux veuves. À ses yeux, cette législation contribue plutôt à perpétuer des préjugés et des stéréotypes concernant la nature ou le rôle des femmes au sein de la société et constitue un désavantage tant pour la carrière des femmes que pour la vie familiale des hommes (ch. 93-116). Conclusion: violation de l'art. 14 combiné avec l'art. 8 CEDH. N.B. Cet arrêt de la Grande Chambre fait suite à celui du 20.10.2020 d'une chambre. Affaire phare. Sintesi dell'UFG (4° rapporto trimestriale 2022) Divieto di discriminazione (art. 14 in combinato disposto con l'art. 8 CEDU); legge federale sull'assicurazione per la vecchiaia e per i superstiti (LAVS) che prevede, soltanto per gli uomini, l'estinzione del diritto alla rendita vedovile quando l'ultimo figlio compie 18 anni. La causa riguarda la soppressione della rendita vedovile del ricorrente quando l'ultimo figlio è diventato maggiorenne. La LAVS prevede infatti, per gli uomini ma non per le donne, l'estinzione del diritto alla rendita vedovile quando l'ultimo figlio compie 18 anni. Dinanzi alla Corte, il ricorrente ha fatto valere l'articolo 14 (divieto di discriminazione) in combinato disposto con l'articolo 8 (diritto al rispetto della vita privata e familiare) della Convenzione, deplorando di essere vittima di una discriminazione rispetto alle madri vedove che, nella medesima situazione, non avrebbero perso il diritto a una rendita. La Grande Camera ha preso posizione in primo luogo sulla questione dell'applicabilità degli articoli 8 e 14 della Convenzione. Ha precisato la sua giurisprudenza e la procedura da seguire in futuro per determinare se censure relative agli assegni sociali rientrano nel campo d'applicazione dell'articolo 8 della Convenzione. Ha ritenuto che l'articolo 14 in combinato disposto con l'articolo 8 della Convenzione entra in linea di conto se le misure in questione intendono favorire la vita familiare e incidono necessariamente sulla sua organizzazione. Ha considerato che la rendita vedovile mira a favorire la vita familiare del coniuge superstite; gli permette di occuparsi dei figli a tempo pieno se tale era il ruolo del genitore deceduto o, in ogni caso, di dedicarsi maggiormente ai figli senza dover far fronte a difficoltà finanziarie che lo costringerebbero a esercitare un'attività professionale. Nella fattispecie, ha tenuto conto in particolare del fatto che al momento del decesso della moglie del ricorrente, nel 1994, le figlie della coppia avevano rispettivamente un anno e nove mesi e quattro anni e che il ricorrente ha lasciato il lavoro per dedicarsi a tempo pieno alla sua famiglia. La Corte ha ritenuto che la rendita in questione mira a favorire la vita familiare del coniuge superstite. Di conseguenza, ha concluso che i fatti rientrano nel campo d'applicazione dell'articolo 8 della Convenzione. Nel merito, ossia la questione di una violazione del divieto di discriminazione, la Grande Camera ha considerato che, nonostante si trovasse anch'egli nella necessità di garantire il proprio sostentamento, il ricorrente non è stato trattato alla stregua di una vedova. Egli ha dunque subito una disparità di trattamento fondata sul sesso. La Corte ha ritenuto che il Governo non ha dimostrato l'esistenza di considerazioni molto forti o ragioni particolarmente solide e convincenti atte a giustificare questa differenza di trattamento. A suo avviso, il Governo non può far valere la presunzione secondo cui il marito mantiene finanziariamente la moglie per giustificare una differenza di trattamento che penalizza i vedovi rispetto alle vedove. A suo parere, questa legislazione contribuisce piuttosto a perpetuare pregiudizi e stereotipi sulla natura o il ruolo delle donne nella società e costituisce uno svantaggio sia per la carriera delle donne sia per la vita familiare degli uomini. Violazione dell'articolo 14 in combinato disposto con l'articolo 8 CEDU (12 voti contro 5).</w:t>
      </w:r>
    </w:p>
    <w:p>
      <w:pPr>
        <w:pStyle w:val="Heading2"/>
      </w:pPr>
      <w:r>
        <w:t>Erwägungen</w:t>
      </w:r>
    </w:p>
    <w:p>
      <w:r>
        <w:rPr>
          <w:b/>
        </w:rPr>
        <w:t>E. 31</w:t>
      </w:r>
    </w:p>
    <w:p>
      <w:r>
        <w:t>Le requérant allègue que, contrairement à une veuve placée dans une situation analogue, il n'a plus droit à une rente de veuf depuis que sa fille cadette a atteint la majorité, et il s'estime de ce fait victime d'une discrimination. Il invoque l'article 14 de la Convention combiné avec l'article 8, qui se lisent comme suit en leurs passages pertinents : Article 14 « La jouissance des droits et libertés reconnus dans la (...) Convention doit être assurée, sans distinction aucune, fondée notamment sur le sexe (...) » Article 8 « 1. Toute personne a droit au respect de sa vie (...)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I. SUR L'EXCEPTION PRÉLIMINAIRE DU GOUVERNEMENT A. Thèses des parties 1. Le Gouvernement</w:t>
      </w:r>
    </w:p>
    <w:p>
      <w:r>
        <w:rPr>
          <w:b/>
        </w:rPr>
        <w:t>E. 32</w:t>
      </w:r>
    </w:p>
    <w:p>
      <w:r>
        <w:t>Le Gouvernement réitère l'exception qu'il a soulevée devant la chambre (paragraphes 23-28 de l'arrêt de la chambre) et invite la Cour à déclarer le grief tiré de l'article 14 combiné avec l'article 8 irrecevable pour incompatibilité ratione materiae avec la Convention, conformément à l'article 35 § 3 a) de la Convention.</w:t>
      </w:r>
    </w:p>
    <w:p>
      <w:r>
        <w:rPr>
          <w:b/>
        </w:rPr>
        <w:t>E. 33</w:t>
      </w:r>
    </w:p>
    <w:p>
      <w:r>
        <w:t>Il déclare qu'il ressort clairement de la jurisprudence de la Cour (notamment de la Grande Chambre) que les prestations sociales telles que celle en cause en l'espèce engendrent des droits patrimoniaux relevant habituellement de l'article 1 du Protocole no 1. Il observe que les litiges portant plus spécifiquement sur une inégalité de traitement entre veuves et veufs quant au versement d'une pension de conjoint survivant ont été examinés par la Cour sur le terrain de l'article 14 combiné avec l'article 1 du Protocole no 1 (il cite notamment les affaires Willis c. Royaume- Uni, no 36042/97, CEDH 2002-IV, Runkee et White c. Royaume- Uni, nos 42949/98 et 53134/99 , 10 mai 2007, et Şerife Yiğit c. Turquie [GC], n o 3976/05, 2 novembre 2010). Il note que les rares affaires dans lesquelles la Cour s'est placée sur le terrain de l'article 14 combiné avec l'article 8 de la Convention, dont Petrovic c. Autriche (27 mars 1998, Recueil des arrêts et décisions 1998-II), Dhahbi c. Italie (no 17120/09, 8 avril 2014), Weller c. Hongrie (no 44399/05, 31 mars 2009) et Konstantin Markin c. Russie ([GC], n o 30078/06, CEDH 2012 (extraits)), concernaient des prestations sociales « aux familles » très différentes de celle en cause dans la présente espèce. Il précise que ces affaires se caractérisaient par l'existence d'un lien direct et particulièrement étroit entre l'octroi de la prestation sociale et la vie familiale, et que ce lien résultait notamment du but de l'allocation en question, dans la mesure où celle-ci visait directement à faciliter la vie familiale ou à y contribuer.</w:t>
      </w:r>
    </w:p>
    <w:p>
      <w:r>
        <w:rPr>
          <w:b/>
        </w:rPr>
        <w:t>E. 34</w:t>
      </w:r>
    </w:p>
    <w:p>
      <w:r>
        <w:t>Le Gouvernement observe que cette approche a été adoptée de manière claire, constante et prévisible jusqu'au revirement opéré dans les arrêts Di Trizio c. Suisse (no 7186/09, 2 février 2016) et Belli et Arquier- Martinez c. Suisse (no 65550/13, 11 décembre 2018). Il estime que dans ces affaires, qui s'apparentent pour lui à une jurisprudence spéciale adaptée à la Suisse, État qui n'a pas ratifié le Protocole no 1, la Cour s'est contentée d'un lien ténu, voire très indirect, entre la prestation en question et la jouissance de la vie familiale, au motif qu'il s'agissait de questions liées à l'organisation de la vie familiale. Selon le Gouvernement, le constat opéré par la Cour dans ces affaires suisses revient à dire que tout octroi ou non-octroi d'une rente entre automatiquement dans le champ d'application de l'article 8, qui se trouve ainsi étendu, une prestation sociale étant toujours susceptible, estime-t-il, d'avoir un certain impact sur la sphère familiale d'une personne. Aux yeux du Gouvernement, cela risque également de restreindre l'exigence du caractère accessoire de l'article 14 de la Convention.</w:t>
      </w:r>
    </w:p>
    <w:p>
      <w:r>
        <w:rPr>
          <w:b/>
        </w:rPr>
        <w:t>E. 35</w:t>
      </w:r>
    </w:p>
    <w:p>
      <w:r>
        <w:t>Le Gouvernement se dit convaincu que la Cour ne devrait examiner sous l'angle de l'article 8 que les affaires qui présentent un lien étroit et direct entre l'octroi de la prestation sociale et la jouissance de la vie familiale, et il ajoute que ce lien est à examiner de manière objective à la lumière de la nature et du but de la prestation tels qu'ils sont déterminés par le droit et la pratique de l'État concerné.</w:t>
      </w:r>
    </w:p>
    <w:p>
      <w:r>
        <w:rPr>
          <w:b/>
        </w:rPr>
        <w:t>E. 36</w:t>
      </w:r>
    </w:p>
    <w:p>
      <w:r>
        <w:t>Or, dans la présente affaire, où ledit lien très étroit ferait manifestement défaut, la chambre n'aurait pas expliqué pourquoi elle estimait justifié de s'écarter de son approche consistant à examiner de tels griefs systématiquement sous l'angle de l'article 1 du Protocole no 1. Le Gouvernement réaffirme dans ce contexte que le seul et unique but de la rente de veuve et de veuf est d'épargner au survivant, en couvrant ses besoins vitaux, les difficultés financières que peut causer le décès du conjoint. Il estime que, contrairement à une allocation pour congé parental ou pour famille nombreuse, et contrairement à la conclusion formulée par la chambre au paragraphe 43 de son arrêt, cette rente n'a pas pour but de favoriser la famille et n'a non plus d'incidence sur l'organisation de la vie familiale. Preuve en est selon lui le fait que la rente de veuve peut, à certaines conditions, être versée également aux veuves qui n'ont pas d'enfant. Le Gouvernement explique par ailleurs que les frais liés à l'entretien des enfants du défunt sont couverts par les rentes d'orphelin qui leur sont accordées. Il ajoute que, dès lors que la présence d'enfants de plus de quinze ans ne complique pas l'exercice par leurs parents d'une activité professionnelle, la rente de veuf cesse d'être nécessaire à la majorité des enfants au plus tard et n'a aucune incidence sur la vie familiale qui se joue en dehors des heures de travail ou d'école. Il expose encore que la rente pour conjoint survivant prévue par le droit suisse se distingue ainsi clairement des prestations sociales que la Cour considère comme entrant dans le champ d'application de l'article 8, qui selon lui est plus restreint que celui de l'article 1 du Protocole no 1.</w:t>
      </w:r>
    </w:p>
    <w:p>
      <w:r>
        <w:rPr>
          <w:b/>
        </w:rPr>
        <w:t>E. 37</w:t>
      </w:r>
    </w:p>
    <w:p>
      <w:r>
        <w:t>Le Gouvernement est d'avis qu'en l'espèce il n'a aucunement été démontré en quoi la suppression de la rente de veuf du requérant, à la majorité de sa fille cadette, a concrètement pesé sur sa vie familiale. Il considère en outre que cette suppression était prévisible pour le requérant et que celui-ci n'a pas établi qu'il n'aurait pas pu reprendre une activité lucrative une fois que ses deux filles avaient atteint la majorité. Il estime en réalité plus vraisemblable que le versement de la rente a conditionné l'organisation familiale, c'est-à-dire le choix du requérant de rester au foyer, plutôt que l'inverse, et rappelle que la rente de veuf n'existait pas lorsque le requérant a perdu sa femme en 1994. Il en déduit que ni l'octroi de la rente de veuf au requérant en 1997, ni a fortiori sa suppression en 2010, n'ont revêtu un caractère familial et n'ont eu de réelles incidences sur l'organisation de la vie familiale de l'intéressé. Il est d'avis que si la suppression de la rente a eu un impact financier, celui-ci n'a pu toucher que la sphère personnelle du requérant.</w:t>
      </w:r>
    </w:p>
    <w:p>
      <w:r>
        <w:rPr>
          <w:b/>
        </w:rPr>
        <w:t>E. 38</w:t>
      </w:r>
    </w:p>
    <w:p>
      <w:r>
        <w:t>Le Gouvernement soutient ensuite que, quand la Suisse a adhéré à la Convention, il était clair que l'article 8 ne couvrait pas le droit à des prestations sociales, et que telle est encore la situation de nos jours. Il déclare que c'est en se plaçant sur le terrain de l'article 1 du Protocole no 1 que la Cour a étendu la portée de sa protection aux prestations sociales. Il ajoute qu'il ressort entre autres d'un récent rapport du Conseil fédéral que les raisons pour lesquelles la Suisse n'a pas ratifié le Protocole no 1 reposent sur la volonté de cet État de respecter le droit international et sur le fait que son droit interne ne couvre pas toutes les exigences déduites de cette disposition, en particulier en matière de prestations de sécurité sociale. Il expose que, un traité n'ayant de validité qu'entre les parties à celui-ci, la garantie de la propriété qui découle de l'article 1 du Protocole no 1 ne peut pas être invoquée contre l'État suisse à la faveur d'une interprétation extensive de l'article 8, car cela risquerait selon lui de contrarier la volonté souveraine de cet État et de lui imposer des obligations auxquelles il n'a volontairement pas souscrit. Il précise de plus que, selon l'article 31 § 1 de la Convention de Vienne, on ne saurait donner à un terme, par le biais d'une interprétation extensive, un effet qu'un État voulait précisément éviter en ne ratifiant pas un autre traité. Il s'ensuit selon le Gouvernement que si les faits de la présente espèce devaient, en raison de leur dimension pécuniaire, tomber sous l'empire de l'article 1 du Protocole no 1 plutôt que de l'article 8 de la Convention, le grief du requérant devrait être exclu du champ d'application de ce dernier et être déclaré irrecevable pour incompatibilité ratione materiae avec la Convention.</w:t>
      </w:r>
    </w:p>
    <w:p>
      <w:r>
        <w:rPr>
          <w:b/>
        </w:rPr>
        <w:t>E. 39</w:t>
      </w:r>
    </w:p>
    <w:p>
      <w:r>
        <w:t>Le Gouvernement expose que l'adoption par les parties à un traité d'un protocole concernant certains sujets particuliers manifeste à l'évidence leur intention commune de faire en sorte que ceux-ci ne soient pas régis par le traité originel. Pour ce qui est du Protocole no 1, il estime que l'intention des parties transparaît clairement dans son préambule et dans son article 5 et qu'il en ressort que le Protocole no 1 ne peut que compléter la Convention. Il argue que, même si la Convention est un instrument vivant qui vise à protéger des droits concrets et effectifs, la Cour ne saurait en dégager des droits qui en ont été sciemment exclus au départ, comme c'est le cas des droits sociaux (énoncés dans la Charte sociale européenne). Il est d'avis qu'elle ne saurait donc faire abstraction de la protection offerte par un protocole additionnel et étendre le champ d'application de l'article 8 de la Convention, voire contourner son sens ordinaire, de façon à englober les obligations découlant de l'article 1 du Protocole no 1, et que si elle procédait de la sorte cette dernière disposition serait en quelque sorte superflue. Selon le Gouvernement, s'il n'est pas totalement exclu de considérer, comme le fait la jurisprudence de la Cour, qu'au sein d'un même protocole certaines dispositions sont englobées dans un droit énoncé dans un article de la Convention et que d'autres ne le sont pas, cela implique toutefois une interprétation conforme aux méthodes visées dans la Convention de Vienne. 2. Le requérant</w:t>
      </w:r>
    </w:p>
    <w:p>
      <w:r>
        <w:rPr>
          <w:b/>
        </w:rPr>
        <w:t>E. 40</w:t>
      </w:r>
    </w:p>
    <w:p>
      <w:r>
        <w:t>Le requérant expose d'abord qu'il a travaillé comme technicien textile jusqu'en 1992, puis au sein d'une compagnie d'assurances. Il ajoute qu'après le décès de son épouse en août 1994, il a cessé de travailler et s'est occupé seul de ses filles, jusqu'à ce que celles-ci aient terminé leur formation et obtenu un diplôme d'une haute école. La rente de veuf, perçue à partir de 1997, et les prestations complémentaires versées lui auraient permis de se consacrer entièrement à la garde et à l'éducation de ses filles et de prendre soin d'elles. La suppression de cette rente, lorsqu'il avait cinquante-sept ans, lui aurait causé de graves difficultés familiales et financières car il n'aurait plus été en mesure de trouver un emploi, en raison de son âge, de la digitalisation de sa profession et de sa longue absence du marché du travail. En parallèle, ses filles seraient quand même toujours restées à sa charge puisqu'elles n'avaient pas fini leurs études. Il lui aurait donc fallu à plusieurs reprises solliciter une aide sociale afin de pouvoir s'occuper d'elles. De plus, entre le moment où sa pension de veuf a été supprimée et les premiers versements de sa pension de vieillesse, sa vie familiale aurait été considérablement restreinte et les activités familiales habituelles n'auraient pu avoir lieu, faute d'argent. Des difficultés financières l'auraient empêché d'inviter ses filles lors d'événements familiaux, de leur offrir des cadeaux d'anniversaire et de Noël ou de partir en vacances avec elles.</w:t>
      </w:r>
    </w:p>
    <w:p>
      <w:r>
        <w:rPr>
          <w:b/>
        </w:rPr>
        <w:t>E. 41</w:t>
      </w:r>
    </w:p>
    <w:p>
      <w:r>
        <w:t>Le requérant soutient dès lors que la présente affaire touche à la notion même de vie familiale, protégée par l'article 8 de la Convention. Il estime qu'elle ne concerne pas à proprement parler le versement d'une pension, question qui serait la seule à relever de l'article 1 du Protocole no 1, mais plutôt une différence dans le traitement de rapports familiaux identiques et concrets, qui entraîne des prestations de rente inégales. Il considère que les faits de la cause tombent donc clairement sous l'empire de l'article 8, et que le fait que cette discrimination puisse également avoir des conséquences pécuniaires ou mettre en jeu des intérêts matériels n'y change rien. Selon lui, vouloir examiner la présente affaire sous l'angle de l'article 14 combiné avec l'article 1 du Protocole no 1, en excluant arbitrairement toute référence à sa situation familiale, reviendrait à remettre en cause la jurisprudence de la Cour. À ses yeux, de surcroît, pour que la protection de l'article 8 de la Convention s'applique conjointement avec l'article 14, il n'est nullement nécessaire qu'il y ait un lien étroit entre le paiement de la rente et la jouissance par le requérant de sa vie familiale, et encore moins qu'il y ait violation de l'article 8.</w:t>
      </w:r>
    </w:p>
    <w:p>
      <w:r>
        <w:rPr>
          <w:b/>
        </w:rPr>
        <w:t>E. 42</w:t>
      </w:r>
    </w:p>
    <w:p>
      <w:r>
        <w:t>Le requérant estime que l'argument que le Gouvernement fonde sur l'exigence d'un lien étroit entre l'octroi de la pension et la jouissance de la vie familiale n'est pas étayé par la jurisprudence de la Cour. Il argue que, quand bien même un tel lien serait nécessaire, il ne ferait pas défaut en l'espèce puisque, selon lui, la rente de conjoint survivant a pour but, d'après la législation pertinente, de protéger les couples mariés, en particulier les familles ayant des enfants, en cas de décès de l'un des conjoints et parents. Pour le requérant, on ne saurait donc prétendre que cette allocation ne vise pas à faciliter la vie familiale ou à y contribuer. À ses yeux, il est également clair que ses filles et lui ont été affectés de manière concrète et individuelle, et ce pas uniquement au moment de la cessation du paiement de la rente. En effet, la loi aurait pénalisé le requérant pour s'être occupé de ses filles lorsqu'elles étaient mineures et pour n'avoir pas organisé sa vie familiale conformément à la présomption, incorrecte de son point de vue, qui attribuerait à l'homme le rôle de pourvoyeur de revenu et qui sous-tendrait le régime de la rente de conjoint survivant.</w:t>
      </w:r>
    </w:p>
    <w:p>
      <w:r>
        <w:rPr>
          <w:b/>
        </w:rPr>
        <w:t>E. 43</w:t>
      </w:r>
    </w:p>
    <w:p>
      <w:r>
        <w:t>De l'avis du requérant, il va de soi que les garanties offertes par des protocoles additionnels ajoutent des droits à ceux énoncés par la Convention, mais que ces garanties ne peuvent ni restreindre ni étendre les droits consacrés par celle-ci. En outre, il serait bien établi dans la jurisprudence qu'une situation peut relever à la fois de l'article 8 de la Convention et de l'article 1 du Protocole no 1, alors que ce dernier ne constitue pas une lex specialis par rapport à l'article 8. Pour le requérant, même lorsque la Cour avait examiné un grief sous l'angle de l'article 1 du Protocole no 1, elle n'a pas pour autant exclu que ce même grief puisse être examiné sur le terrain de l'article 8 de la Convention, comme en témoigneraient par exemple les affaires Şerife Yiğit (arrêt précité), Sawden c. Royaume- Uni ((déc.), no 38550/97, 8 juin 1999) et Aldeguer Tomás c. Espagne (no 35214/09, 14 juin 2016). À ses yeux, il serait en effet dangereux de prétendre le contraire parce que cela voudrait dire qu'un protocole additionnel limite les droits garantis par la Convention. Selon lui, cela ne signifie pas pour autant que l'article 1 du Protocole no 1 n'a pas d'existence indépendante, puisqu'il existe à son avis de nombreuses affaires concernant les droits patrimoniaux et les domaines de la sécurité sociale et des taxes qui n'ont rien à voir avec l'article 8. Le requérant observe par ailleurs que les rentes de veuve et de veuf visent en principe à dispenser le conjoint survivant de la nécessité d'exercer une activité lucrative et à lui accorder une protection sociale, afin qu'il ait le temps de s'occuper de ses enfants. Il ajoute que, tout comme une rente de veuve versée après la majorité des enfants permet à la veuve de continuer à s'occuper de sa famille, une rente de veuf versée au-delà de la majorité des enfants permet au père de continuer à prendre soin de sa famille. À son avis, si l'on devait considérer que cette prise en charge de la famille n'est plus nécessaire une fois que les enfants sont majeurs, la rente devrait alors être supprimée pour les deux parents, ce qui reviendrait cependant à méconnaître le fait qu'à ce moment de leur vie, les veuves et les veufs sont souvent à un âge qui exclut de fait la reprise d'une activité professionnelle. B. L'arrêt de la chambre</w:t>
      </w:r>
    </w:p>
    <w:p>
      <w:r>
        <w:rPr>
          <w:b/>
        </w:rPr>
        <w:t>E. 44</w:t>
      </w:r>
    </w:p>
    <w:p>
      <w:r>
        <w:t>La chambre a d'abord observé que la notion de « vie familiale » ne comprend pas uniquement des relations à caractère social, moral ou culturel mais qu'elle englobe aussi des intérêts matériels ( Merger et Cros c. France , no 68864/01, § 46, 22 décembre 2004). Elle a également rappelé que des mesures permettant à l'un des parents de rester au foyer pour s'occuper de ses enfants sont des mesures qui favorisent la vie familiale et qui ont ainsi une incidence sur l'organisation de celle-ci, et que de telles mesures entrent dans le champ d'application de l'article 8 (voir, parmi d'autres, Petrovic , Konstantin Markin et, dans le même sens, Weller et Dhahbi , tous précités).</w:t>
      </w:r>
    </w:p>
    <w:p>
      <w:r>
        <w:rPr>
          <w:b/>
        </w:rPr>
        <w:t>E. 45</w:t>
      </w:r>
    </w:p>
    <w:p>
      <w:r>
        <w:t>À la lumière des principes établis dans la jurisprudence susmentionnée, et se référant aux arrêts rendus dans deux précédentes affaires suisses, Di Trizio et Belli et Arquier- Martinez (arrêts précités), la chambre a estimé que le grief du requérant tombait sous l'empire de l'article 8 de la Convention. Elle a considéré que la rente de veuve et de veuf visait à exempter le conjoint survivant de la nécessité d'exercer une activité rémunérée afin qu'il ait le temps de s'occuper de ses enfants, et que cette prestation revêtait donc clairement un caractère « familial » car elle avait de réelles incidences sur l'organisation de la vie familiale du requérant.</w:t>
      </w:r>
    </w:p>
    <w:p>
      <w:r>
        <w:rPr>
          <w:b/>
        </w:rPr>
        <w:t>E. 46</w:t>
      </w:r>
    </w:p>
    <w:p>
      <w:r>
        <w:t>Pour ce qui est des conséquences de la rente de veuf sur le requérant in concreto , la chambre a rappelé que depuis le décès accidentel de son épouse, lorsque les enfants du couple étaient âgés de un an et neuf mois et de quatre ans, l'intéressé, qui avait travaillé jusqu'alors, s'était occupé exclusivement de ses enfants, sans pouvoir exercer son métier. Au moment où le versement de la rente avait cessé, il était âgé de cinquante-sept ans et n'exerçait plus d'activité lucrative depuis plus de seize ans. Lorsque le Tribunal fédéral avait rendu son arrêt, le requérant avait déjà cinquante-neuf ans, ce qui rendait son retour sur le marché de travail difficilement envisageable. Dans ces conditions, la chambre a estimé que la rente de veuf, que le requérant avait perçue depuis le décès de son épouse et qui avait été supprimée à la majorité du plus jeune de ses enfants, avait eu un impact sur la manière dont l'intéressé avait organisé et aménagé sa vie familiale. C. Appréciation de la Cour 1. Remarques liminaires</w:t>
      </w:r>
    </w:p>
    <w:p>
      <w:r>
        <w:rPr>
          <w:b/>
        </w:rPr>
        <w:t>E. 47</w:t>
      </w:r>
    </w:p>
    <w:p>
      <w:r>
        <w:t>Selon la jurisprudence constante de la Cour, l'article 14 de la Convention complète les autres clauses normatives de la Convention et de ses Protocoles. Il n'a pas d'existence indépendante, puisqu'il vaut uniquement pour « la jouissance des droits et libertés » qu'elles garantissent (voir, parmi beaucoup d'autres, Şahin c. Allemagne [GC], no 30943/96, § 85, CEDH 2003-VIII, et Fábián c. Hongrie [GC], no 78117/13, § 112, 5 septembre 2017).</w:t>
      </w:r>
    </w:p>
    <w:p>
      <w:r>
        <w:rPr>
          <w:b/>
        </w:rPr>
        <w:t>E. 48</w:t>
      </w:r>
    </w:p>
    <w:p>
      <w:r>
        <w:t>L'application de l'article 14 ne présuppose pas nécessairement la violation de l'un des droits matériels garantis par la Convention. Il faut, mais il suffit, que les faits de la cause tombent sous l'empire de l'un au moins des articles de la Convention. De plus, l'interdiction de la discrimination que consacre l'article 14 dépasse la jouissance des droits et libertés que la Convention et ses Protocoles imposent à chaque État de garantir. Elle s'applique aussi aux droits additionnels, pour autant qu'ils tombent sous l'empire de tout article de la Convention, que l 'État a volontairement décidé de protéger. Ce principe est profondément ancré dans la jurisprudence de la Cour (voir, parmi beaucoup d'autres, Konstantin Markin , précité, § 124, Petrovic , précité, § 22, Yocheva et Ganeva c. Bulgarie , nos 18592/15 et 43863/15 , § 71, 11 mai 2021, et Stec et autres c. Royaume- Uni (déc.) [GC], nos 65731/01 et 65900/01 , § 39, CEDH 2005-X).</w:t>
      </w:r>
    </w:p>
    <w:p>
      <w:r>
        <w:rPr>
          <w:b/>
        </w:rPr>
        <w:t>E. 49</w:t>
      </w:r>
    </w:p>
    <w:p>
      <w:r>
        <w:t>Eu égard au caractère non autonome de l'article 14 de la Convention, ainsi qu'à la demande de renvoi et aux observations des parties, la Cour note qu'il convient d'abord de trancher la question de savoir si les intérêts du requérant qui ont été touchés par le régime de la rente de conjoint survivant tombent sous l'empire de l'article 8 de la Convention (voir, mutatis mutandis , Stec et autres , décision précitée, § 41). La réponse à cette question est en effet déterminante pour le point de savoir si la Cour est compétente pour se pencher sur le fond de l'affaire, portant sur la violation alléguée de l'article 14 de la Convention combiné avec l'article 8. 2. L'évolution et l'état actuel de la jurisprudence en matière de prestations sociales</w:t>
      </w:r>
    </w:p>
    <w:p>
      <w:r>
        <w:rPr>
          <w:b/>
        </w:rPr>
        <w:t>E. 50</w:t>
      </w:r>
    </w:p>
    <w:p>
      <w:r>
        <w:t>La Cour rappelle que la Convention telle qu'adoptée en 1950 reflétait l'idée d'une séparation entre les droits civils et politiques, d'une part, et les droits économiques, sociaux et culturels, d'autre part. Le catalogue des droits garantis par la Convention et par le Protocole no 1, adopté en 1952, était en effet clairement axé sur les droits civils et politiques, auquel la Charte sociale européenne de 1961 a ajouté des droits économiques et sociaux. Il découle par ailleurs des travaux préparatoires à la Charte sociale que cet instrument devait constituer dans le domaine social un « complément » à la Convention. 51. Néanmoins, comme la Cour l'a elle-même constaté, « si [la Convention] énonce pour l'essentiel des droits civils et politiques, nombre d'entre eux ont des prolongements d'ordre économique ou social » ; par ailleurs, une interprétation de la Convention peut s'étendre dans la sphère des droits économiques et sociaux puisque « nulle cloison étanche ne sépare celle-ci du domaine de la Convention » ( Airey c. Irlande , 9 octobre 1979, § 26, série A no 32, et Stec et autres , décision précitée, § 52). 52. La Cour a ensuite développé cette approche quant à l'article 1 du Protocole no 1, notamment en matière de sécurité sociale, considérant qu'elle devrait refléter réellement la façon dont la protection sociale est aujourd'hui organisée dans les États membres du Conseil de l'Europe, protection découlant notamment des dispositions de la Charte sociale ( Stec et autres , décision précitée, §§ 50 et 52). 53. À cet égard, il convient de noter d'emblée que la Suisse n'a ratifié ni la Charte sociale ni, surtout, le Protocole no 1, choix politique dont les motifs ont été exposés par le Gouvernement (paragraphe REF paragraph00032 \h \* CharFormat 38 ci-dessus). Elle ne saurait donc se voir opposer ce dernier instrument (voir, mutatis mutandis , Demir et Baykara c. Turquie [GC], no 34503/97, §§ 57, 60, 149, CEDH 2008). 54. Dans le contexte de la présente affaire, il convient de souligner que, dans la très grande majorité des affaires dans lesquelles elle s'est exprimée sur une discrimination alléguée en matière d'octroi de prestations sociales, la Cour s'est concentrée sur l'article 1 du Protocole no 1, et non sur l'article 8 de la Convention. Elle a d'abord considéré que le versement de cotisations à des fonds de pension ou à des régimes de sécurité sociale pouvait, dans certaines circonstances, donner naissance à des droits patrimoniaux au sens de l'article 1 du Protocole no 1 ( Bellet, Huertas et Vialatte c. France (déc.), nos 40832/98 et 2 autres, 27 avril 1999, Skorkiewicz c. Pologne (déc.), no 39860/98, 1er juin 1999, Gaygusuz c. Autriche , 16 septembre 1996, §§ 39 et 41, Recueil 1996-IV, Kjartan Ásmundsson c. Islande , no 60669/00, § 39, CEDH 2004-IX). 55. Dans la décision Stec et autres (précitée), la Cour a ensuite jugé que le maintien, aux fins de l'applicabilité de l'article 1 du Protocole no 1, d'une distinction entre prestations contributives et prestations non contributives n'était plus justifié ( Stec et autres , décision précitée, §§ 52 -53). Elle a également souligné que les principes qui s'appliquent généralement aux affaires concernant l'article 1 du Protocole no 1 gardent toute leur pertinence lorsqu'il s'agit de prestations sociales. Ainsi, il ne fait pas de doute que cette disposition n'impose aucune restriction à la liberté pour les États contractants de décider d'instaurer ou non un régime de protection sociale ou de choisir le type ou le niveau des prestations censées être accordées au titre de pareil régime. Cependant, dès lors qu'un État contractant met en place une législation prévoyant le versement automatique d'une prestation sociale ou d'une pension, cette législation doit être considérée comme engendrant un intérêt patrimonial tombant sous l'empire de l'article 1 du Protocole no 1 pour les personnes remplissant ses conditions ( ibidem , § 54), et elle doit être compatible avec l'article 14 de la Convention ( Stec et autres c. Royaume- Uni [GC], nos 65731/01 et 65900/01 , § 53, CEDH 2006-VI). 56. De nombreuses affaires examinées jusqu'à présent par la Cour (parmi lesquelles Willis , arrêt précité, Muñoz Díaz c. Espagne , n o 49151/07, CEDH 2009, Moskal c. Pologne , no 10373/05, 15 septembre 2009, Si Amer c. France , no 29137/06, 29 octobre 2009, Santos Hansen c. Danemark (déc.), no 17949/07, 9 mars 2010, Hasani c. Croatie (déc.), no 20844/09, 30 septembre 2010, Šulcs et autres c. Lettonie (déc.), no 42923/10, 6 décembre 2011, Guberina c. Croatie , no 23682/13, 22 mars 2016, et Bélané Nagy c. Hongrie ([GC], no 53080/13, 13 décembre 2016) montrent que, dans le domaine des prestations sociales, la Cour se place régulièrement, et en premier lieu, sur le terrain de l'article 1 du Protocole no 1, ou bien sur le terrain de l'article 14 combiné avec l'article 1 du Protocole no 1 lorsque le requérant allègue avoir été privé d'une prestation sociale pour un motif discriminatoire. En particulier, dans les affaires Moskal et Bélané Nagy (précitées), la Cour a choisi d'examiner les griefs relatifs aux prestations sociales d'abord sous l'angle de l'article 1 du Protocole no 1 et elle n'a pas ensuite estimé nécessaire de poursuivre l'examen sous l'angle de l'article 8 de la Convention. 57. Tous ces éléments amènent la Cour à constater que sa jurisprudence a atteint une maturité et une stabilité permettant de définir clairement le seuil nécessaire pour faire entrer en jeu l'article 1 du Protocole no 1, y compris dans le domaine des prestations sociales. Il convient ici de rappeler que cette disposition ne crée aucun droit d'acquérir un bien ou de se voir accorder une pension d'un montant donné. Sa protection ne vaut que pour les biens actuels et, dans certaines circonstances, pour l'« espérance légitime » d'obtenir une valeur patrimoniale ; pour qu'un requérant puisse faire reconnaître un bien constitué par une espérance légitime, il doit jouir d'un droit sanctionnable qui doit véritablement constituer un intérêt patrimonial substantiel suffisamment établi au regard du droit national ( Bélané Nagy , précité, §§ 74-79). 58. Ainsi, lorsque l'intéressé ne satisfait pas ou cesse de satisfaire aux conditions fixées par le droit interne pour l'octroi de telle ou telle forme de prestation ou de pension, il n'y a pas d'atteinte aux droits découlant de l'article 1 du Protocole no 1 si les conditions ont changé avant que l'intéressé ait pu prétendre à la prestation en question. Lorsque la suspension ou la réduction d'une pension est due à un changement non pas dans la situation du requérant lui-même mais dans la loi ou dans sa mise en oeuvre, il peut en résulter une atteinte aux droits garantis par l'article 1 du Protocole no 1. Dès lors, si les conditions fixées par le droit interne pour l'octroi de telle ou telle forme de prestation ou de pension ont changé et que, de ce fait, la personne concernée n'y satisfait plus, un examen minutieux des circonstances individuelles de l'espèce - en particulier, la nature du changement apporté auxdites conditions - peut s'imposer dans le but de vérifier l'existence d'un intérêt patrimonial substantiel suffisamment établi au regard du droit national (Bélané Nagy, précité, §§ 86-89). 59. La situation n'est pas aussi claire concernant le champ d'application de l'article 8 de la Convention dans ce domaine. S'il ne fait pas de doute que la notion de vie « familiale » au sens de l'article 8 de la Convention comprend également, à côté des relations de caractère social, moral ou culturel, certains intérêts matériels qui ont nécessairement des conséquences pécuniaires, cette interprétation a été développée avant tout dans les affaires concernant la non-reconnaissance en droit de liens de filiation et les conséquences de celle-ci sur la transmission de biens entre personnes privées (voir, entre autres, Marckx c. Belgique , 13 juin 1979, série A no 31, Camp et Bourimi c. Pays- Bas, no 28369/95, CEDH 2000-X, Pla et Puncernau c. Andorre , no 69498/01, CEDH 2004-VIII, Merger et Cros , précité, Schaefer c. Allemagne (déc.), no 14379/03, 4 septembre 2007, et Brauer c. Allemagne , no 3545/04, 28 mai 2009). Ainsi, dans l'arrêt Şerife Yiğit (précité), la non-reconnaissance du mariage religieux de la requérante et ses conséquences en matière de droits de succession ont été examinées sur le terrain de l'article 8 de la Convention tandis que l'aspect pécuniaire du grief de l'intéressée, relatif au refus de l'État de lui accorder le bénéfice des droits à une pension de réversion et à la sécurité sociale, y a été examiné par la Cour sous l'angle de l'article 14 de la Convention combiné avec l'article 1 du Protocole no 1. 60. Plus rares sont les affaires où la Cour a examiné, sur le terrain de l'article 8 pris isolément, les griefs concernant les prestations sociales, c'est-à-dire les versements provenant des fonds publics, y compris de caisses d'assurance sociale (voir, par exemple, La Parola et autres c. Italie (déc.), no 39712/98, 30 novembre 2000, McDonald c. Royaume-Uni, no 4241/12, 20 mai 2014, et Belli et Arquier-Martinez, précité). La Cour ne déduit pas de ces affaires que l'article 8 pris isolément peut être interprété comme imposant à l'État des obligations positives en matière de sécurité sociale. 61. En revanche, certaines lignes directrices permettant d'identifier les facteurs qui font tomber les faits d'une cause de ce type sous l'empire de l'article 8 peuvent être dégagées des affaires, plus nombreuses, dans lesquelles la Cour a examiné les griefs concernant les prestations sociales sur le terrain de l'article 14 de la Convention combiné avec l'article 8. En effet, si l'article 8 ne garantit pas le droit de se voir octroyer une prestation sociale, lorsque l'État décide d'aller au-delà de ses obligations découlant de l'article 8 en créant pareil droit, ce qu'il lui est loisible de faire en application de l'article 53 de la Convention, il ne peut, dans la mise en application de ce dernier, prendre des mesures discriminatoires au sens de l'article 14 de la Convention (voir, mutatis mutandis , Stec et autres , arrêt précité, § 53, Konstantin Markin , arrêt précité, § 130, et Aldeguer Tomás , arrêt précité, § 76). 62. Dans ce sens, l'article 14 combiné avec l'article 8 peut donc avoir un champ d'application plus étendu que l'article 8 pris isolément. Pour conclure que les griefs relatifs à des prestations sociales tombent sous l'empire de l'article 8, ce qui permet à l'article 14 d'entrer en jeu, la Cour a au fil du temps retenu différents facteurs. 63. On mentionnera, en premier lieu, les affaires concernant le congé parental et l'allocation y afférente, à savoir Petrovic (arrêt précité), Konstantin Markin (arrêt précité) et Topčić-Rosenberg c. Croatie (no 19391/11, 14 novembre 2013). Dans ces affaires, qui font apparaître le concept d'« organisation de la vie familiale », l'applicabilité de l'article 14 combiné avec l'article 8 a été la résultante d'une série de circonstances ayant trait à l'octroi d'un congé et d'une allocation, qui dans la situation spécifique des requérants avaient nécessairement une incidence sur l'organisation de la vie familiale. 64. Une autre approche, qui a été adoptée par la Cour notamment dans les affaires Di Trizio et Belli et Arquier- Martinez (arrêts précités) et qui a guidé la chambre dans son arrêt en l'espèce, repose plutôt sur l'hypothèse selon laquelle l'octroi ou le non-octroi de la prestation sont susceptibles d'influencer l'organisation de la vie familiale. 65. Enfin, dans d'autres arrêts, pour la plupart antérieurs à celui rendu par la Grande Chambre dans l'affaire Konstantin Markin (arrêt précité), la Cour a eu recours à une présomption légale selon laquelle l'État témoigne, par le biais de la prestation en cause, de son soutien et de son respect pour la vie familiale. Une telle approche a été appliquée par la Cour notamment dans les affaires concernant une indemnité de maternité (Weller, arrêt précité), une allocation en faveur des familles nombreuses (Fawsie c. Grèce, no 40080/07, 28 octobre 2010, Dhahbi, arrêt précité), une allocation pour enfant (Okpisz c. Allemagne, no 59140/00, 25 octobre 2005, et Niedzwiecki c. Allemagne, no 58453/00, 25 octobre 2005) ou une allocation familiale pour enfants n'ayant plus qu'un parent en vie (Yocheva et Ganeva, précité). 3. La démarche à suivre dorénavant 66. Il ressort de l'étude de la jurisprudence résumée ci-dessus que la Cour n'a pas toujours défini de manière parfaitement cohérente les éléments l'ayant amenée à conclure que les griefs relatifs aux allocations sociales tombaient sous l'empire de l'article 8 de la Convention. 67. La Cour note d'emblée que toute prestation pécuniaire a généralement certaines incidences sur la gestion de la vie familiale de l'intéressé, sans que cela suffise à la faire tomber sous l'empire de l'article 8. Dans le cas contraire, en effet, l'ensemble des allocations sociales tomberaient sous l'empire de cette disposition, ce qui serait excessif. 68. Il est donc nécessaire que la Cour clarifie les critères pertinents afin de préciser, voire circonscrire, ce qui tombe sous l'empire de l'article 8 en matière de prestations sociales. 69. Il ressort par ailleurs de la jurisprudence résumée ci-dessus que, en matière de prestations sociales, la sphère de protection de l'article 1 du Protocole no 1 et celle de l'article 8 de la Convention se recoupent et se chevauchent, bien que les intérêts protégés par ces articles diffèrent. En déterminant les griefs qui tombent sous l'empire de l'article 8, la Cour doit pallier les incohérences constatées sur le terrain de l'article 8, notamment lorsqu'il est combiné avec l'article 14 de la Convention (paragraphes REF paragraph00061 \h \* CharFormat 64- REF paragraph00063 \h \* CharFormat 65 ci-dessus). Il s'ensuit que la Cour ne peut plus se contenter ni d'une simple présomption légale selon laquelle l'État témoigne, par le biais de la prestation en cause, de son soutien et de son respect pour la vie familiale (voir la jurisprudence citée au paragraphe REF paragraph00063 \h \* CharFormat 65 ci-dessus), ni d'un lien de causalité hypothétique, consistant à rechercher si l'octroi d'une allocation est « susceptible d'influencer l'organisation de la vie familiale » (voir la jurisprudence citée au paragraphe REF paragraph00061 \h \* CharFormat 64 ci-dessus). 70. De l'avis de la Cour, il convient de prendre pour point de référence notamment l'arrêt rendu par la Grande Chambre dans l'affaire Konstantin Markin (précité) : « i. Sur l'applicabilité de l'article 14 combiné avec l'article 8 129. La Cour doit avant tout déterminer si les faits de la cause relèvent de l'article 8 et donc de l'article 14 de la Convention. Elle a dit à maintes reprises que l'article 14 de la Convention entre en jeu dès lors que « la matière sur laquelle porte le désavantage (...) compte parmi les modalités d'exercice d'un droit garanti », ou que les mesures critiquées « se rattache[nt] (...) à l'exercice d'un droit garanti ». Pour que l'article 14 trouve à s'appliquer, il suffit que les faits du litige tombent sous l'empire de l'une au moins des dispositions de la Convention ( Thlimmenos c. Grèce [GC], no 34369/97, § 40, CEDH 2000-IV , E.B. c. France , précité, §§ 47-48, et Fretté c. France , no 36515/97, § 31, CEDH 2002-I, ainsi que les références citées). 130. Certes, l'article 8 ne comporte pas un droit au congé parental et n'impose pas non plus aux États l'obligation positive de prévoir une allocation de congé parental. Cependant, en permettant à l'un des parents de rester au foyer pour s'occuper des enfants, le congé parental et l'allocation y afférente favorisent la vie familiale et ont nécessairement une incidence sur l'organisation de celle-ci [soulignements ajoutés]. Le congé parental et l'allocation correspondante entrent donc dans le champ d'application de l'article 8 de la Convention. Il s'ensuit que l'article 14, combiné avec l'article 8, trouve à s'appliquer. Partant, lorsqu'un État décide de créer un dispositif de congé parental, il doit le faire d'une manière compatible avec l'article 14 de la Convention ( Petrovic , précité, §§ 26-29). » 71. Dans le contexte de l'affaire Konstantin Markin , l 'applicabilité de l'article 14 combiné avec l'article 8 de la Convention a été déclenchée par le fait que le congé parental et l'allocation correspondante avaient « nécessairement une incidence sur l'organisation de [la vie familiale] », (comparer et contraster avec l'approche suivie dans les affaires mentionnées aux paragraphes REF paragraph00061 \h \* CharFormat 64 et REF paragraph00063 \h \* CharFormat 65 ci-dessus), les deux ayant visé à permettre à l'un des parents de rester au foyer pour s'occuper des enfants (en l'occurrence en bas âge). Ainsi, un lien étroit entre l'allocation associée au congé parental et la jouissance de la vie familiale a été considéré nécessaire. 72. Dès lors, pour que l'article 14 de la Convention entre en jeu dans ce contexte spécifique, la matière sur laquelle porte le désavantage allégué doit compter parmi les modalités d'exercice du droit au respect de la vie familiale tel que garanti par l'article 8 de la Convention, en ce sens que les mesures visent à favoriser la vie familiale et qu'elles ont nécessairement une incidence sur l'organisation de celle-ci. La Cour estime qu'un éventail d'éléments sont pertinents pour déterminer la nature de l'allocation en question et qu'il convient de les examiner dans leur ensemble. Figureront parmi ces éléments, notamment : le but de l'allocation tel que déterminé par la Cour à la lumière de la législation concernée ; les conditions de l'octroi, du calcul et de l'extinction de l'allocation prévues par les dispositions légales ; les effets sur l'organisation de la vie familiale tels qu'envisagés par la législation ; les incidences réelles de l'allocation, compte tenu du cas individuel du requérant et de sa vie familiale pendant toute la période de versement de l'allocation. 4. L'application à la présente affaire 73. Suivant la démarche qui vient d'être exposée, la Cour est appelée, en vue de déterminer si l'article 8 et, en conséquence, l'article 14 de la Convention entrent en jeu en l'espèce, à considérer les éléments pertinents dans leur globalité et à prendre en compte toute la période de 1997 à 2010, pendant laquelle le requérant a perçu la rente de veuf. 74. La Cour estime en premier lieu qu'il convient en l'occurrence d'apprécier le but de la rente de conjoint survivant. À cette fin il y a lieu de prendre en compte le libellé des dispositions légales pertinentes, à savoir les articles 23 et 24 de la LAVS (paragraphe REF paragraph00019 \h \* CharFormat 20 ci-dessus), et les conditions d'octroi de la rente. Elle relève que l'article 23 de la LAVS fixe celles-ci de telle manière que, pour pouvoir bénéficier de cette allocation, le parent survivant doit avoir, au décès du conjoint, un ou plusieurs enfants. Cette disposition se réfère également au fait pour le conjoint survivant de vivre en ménage commun avec les enfants du conjoint décédé (alinéa 2), ainsi qu'au statut matrimonial du bénéficiaire de la rente (alinéas 4 et 5). En revanche, à l'exception des veuves remplissant les critères de l'article 24 § 1 de la LAVS, les conjoints survivants ne peuvent se voir octroyer cette rente si la famille ne compte pas d'enfants. 75. En vertu de cette législation, le requérant, ayant perdu son épouse en 1994, a donc eu droit à la pension de veuf, lorsque celle-ci a été introduite en 1997, uniquement parce qu'il était père de famille et avait des enfants à charge. Il ressort par ailleurs du dossier que jusqu'alors c'était principalement celle-ci qui s'occupait des enfants, tandis que le requérant travaillait, d'abord comme technicien textile puis au sein d'une compagnie d'assurances. 76. Il convient ensuite de relever que la cessation du versement de la rente de veuf est également résultée de la situation familiale du requérant, à savoir l'âge de ses enfants, puisque son droit à la rente s'est éteint lorsque sa fille cadette a eu dix-huit ans. 77. La Cour n'ignore pas que, selon le Gouvernement, le seul et unique but de la rente de veuve et de veuf est d'épargner au survivant, en couvrant ses besoins vitaux, les difficultés financières que peut causer le décès du conjoint (paragraphe REF paragraph23 \h 36 ci-dessus). Cependant, quel qu'ait pu être l'effet envisagé par le législateur de l'avis du Gouvernement, les constatations susmentionnées permettent à la Cour de conclure qu'en réalité la rente en question vise à favoriser la vie familiale du conjoint survivant. En effet, elle lui permet de s'occuper de ses enfants à plein temps si tel était auparavant le rôle du parent décédé, ou, dans tous les cas, de se consacrer davantage à ceux-ci sans avoir à affronter des difficultés financières qui le contraindraient à exercer une activité professionnelle. 78. Il incombe également à la Cour de rechercher, à la lumière de l'ensemble des circonstances concrètes de la présente affaire, en quoi le fait que le requérant a perçu cette allocation entre 1997 et 2010 et qu'il en a été privé à la majorité de sa fille cadette a eu une incidence sur l'organisation de sa vie familiale durant cette période. 79. Dans ce contexte, la Cour observe qu'au moment du décès de l'épouse du requérant, en 1994, les filles du couple étaient âgées de un an et neuf mois et de quatre ans respectivement. Dans cette situation, qui nécessitait la prise de décisions difficiles et déterminantes pour l'organisation de sa vie familiale, le requérant a quitté son emploi pour se consacrer à plein temps à sa famille, notamment en assurant la garde et l'éducation de ses filles. La Cour ne doute pas que le fait de percevoir la pension de veuf a nécessairement eu une incidence sur l'organisation de sa vie familiale tout au long de la période concernée. 80. Il s'ensuit que depuis le moment où, en 1997, le requérant s'est vu accorder le bénéfice de la pension de veuf jusqu'à la suppression de celle-ci, en novembre 2010, l'intéressé et sa famille ont organisé les aspects clés de leur vie quotidienne, au moins en partie, en fonction de l'existence de cette allocation. 81. La Cour note enfin que la situation économique délicate dans laquelle le requérant s'est retrouvé, à l'âge de cinquante-sept ans, du fait de la perte de la rente de conjoint survivant et des difficultés à réintégrer un marché du travail dont il était absent depuis seize ans, est résultée de la décision qu'il avait prise des années auparavant dans l'intérêt de sa famille, confortée à partir de 1997 par la perception de la rente de veuf. 82. Ces éléments amènent la Cour à conclure que les faits de l'espèce tombent sous l'empire de l'article 8 de la Convention. Cela suffit pour rendre l'article 14 de la Convention applicable. 83. Il convient, dès lors, de rejeter l'exception préliminaire du Gouvernement. II. SUR LA VIOLATION ALLÉGUÉE DE L'ARTICLE 14 DE LA CONVENTION COMBINÉ AVEC L'ARTICLE 8 84. Le requérant se plaint que, contrairement à une veuve dans une situation analogue, il n'a plus droit à une rente de conjoint survivant depuis que sa fille cadette a atteint la majorité, et s'estime de ce fait victime d'une discrimination fondée sur le sexe. A. Thèses des parties 1. Le requérant 85. Le requérant expose tout d'abord que, ayant renoncé à son emploi au moment du décès de son épouse en août 1994, il s'est ensuite occupé seul de ses filles jusqu'à ce qu'elles aient terminé leur formation, et que pendant cette période il a perçu la rente de veuf et les prestations complémentaires. La suppression de cette rente en novembre 2010, alors qu'il avait cinquante-sept ans, lui aurait causé de graves difficultés familiales et financières car il n'aurait plus été en mesure de trouver un emploi. Il lui aurait donc fallu à plusieurs reprises solliciter une aide sociale afin de pouvoir s'occuper de ses filles. À ses yeux, il n'a donc pas été touché différemment de ce qui aurait été le cas pour une veuve. De plus, entre le moment où sa pension de veuf a été supprimée et les premiers versements de sa pension de vieillesse, en avril 2018, sa vie familiale aurait été considérablement restreinte et les activités familiales habituelles n'auraient pu avoir lieu, faute d'argent. 86. Le requérant observe par ailleurs que les rentes de veuve et de veuf visent en principe à dispenser le conjoint survivant de la nécessité d'exercer une activité lucrative et à lui accorder une protection sociale, afin qu'il ait le temps de s'occuper de ses enfants. Il ajoute que, tout comme une rente de veuve versée après la majorité des enfants permet à la veuve de continuer à s'occuper de sa famille, une rente de veuf versée au-delà de la majorité des enfants permet au père de continuer à prendre soin de sa famille. À son avis, si l'on devait considérer que cette prise en charge de la famille n'est plus nécessaire une fois que les enfants sont majeurs, la rente devrait alors être supprimée pour les deux parents, ce qui reviendrait cependant à faire obstacle à la jouissance de la vie familiale ainsi qu'à méconnaître le fait qu'à ce moment de leur vie, les veuves et les veufs sont souvent à un âge qui exclut de fait la reprise d'une activité professionnelle. 87. Le requérant maintient ensuite qu'il n'existe aucune raison objective de placer les veufs dans une situation plus défavorable que les veuves en ce qui concerne le versement de rentes, d'autant qu'une telle réglementation est selon lui unique en Europe. Il conteste que l'existence d'une discrimination visant les femmes, c'est-à-dire l'inégalité inconstitutionnelle de traitement subie par elles sur le marché de travail, notamment en matière de salaire, puisse servir à justifier la perpétuation d'une discrimination à l'égard des hommes. Il expose qu'il ne s'agit pas ici d'une discrimination positive visant à aider les femmes puisque, au contraire, le régime actuel renforce des modèles de rôles et de répartition des tâches qui sont dépassés et discriminatoires. Il ajoute que, des traditions ou des attitudes et comportements de nature sociale n'étant pas suffisants, on ne peut conclure en l'espèce à l'existence d'arguments très solides pouvant à eux seuls justifier une inégalité entre les sexes. Pour le requérant, les exigences de l'article 14 combiné avec l'article 8 de la Convention ne seraient donc satisfaites que si les mêmes conditions s'appliquaient aux veuves et aux veufs en ce qui concerne l'extinction du droit à la rente. 88. Dans ce contexte, le requérant estime non valable l'argument que le Gouvernement tire du concept désuet de « mariage prestataire », selon lequel les veuves en Suisse doivent encore bénéficier d'une protection spéciale par rapport aux veufs, en raison de leur plus grande dépendance financière. Selon lui, il est extrêmement rare de trouver des familles où l'homme assume la responsabilité exclusive de l'entretien financier de la famille et la femme celle de la maison et du foyer. De plus, en constatant une discrimination manifeste à son encontre, le Tribunal fédéral aurait déjà rejeté les différences tant fonctionnelles que biologiques entre les sexes, ainsi que les attentes traditionnelles en matière de rôles. La justification de la différence de traitement entre les veuves et les veufs reposerait donc uniquement sur des considérations démocratiques (la volonté du peuple), jugées plus importantes que les droits fondamentaux, ainsi que sur des préoccupations financières. Lors de la révision de la législation pertinente, le Parlement aurait en effet constaté que l'égalité de traitement des conjoints au-delà de l'âge de la majorité des enfants était trop coûteuse. Or, selon le requérant, au regard de l'importance centrale de l'égalité des sexes, il apparaît disproportionné et inacceptable de se prévaloir de tels motifs. 2. Le Gouvernement 89. Rappelant que les États jouissent d'une ample marge d'appréciation lorsqu'il s'agit de prendre des mesures d'ordre général en matière économique ou sociale (et se référant notamment à l'arrêt Andrle c. République tchèque , no 6268/08, §§ 55-59, 17 février 2011), le Gouvernement ne conteste pas pour autant la nécessité d'un réajustement des conditions d'octroi des rentes de survivants qui prenne en considération les changements sociaux survenus au cours des dernières décennies. Il soutient néanmoins que, malgré les progrès constatés dans la situation des femmes sur le marché du travail (il précise que l'actualisation d'une étude de 2012 relative à la situation économique des veuves et des veufs a été lancée en mars 2021 et est en cours), le besoin d'une protection légèrement supérieure des veuves n'a pas complètement disparu. Dès lors, selon lui, la différence de traitement qui en résulte peut encore trouver une justification objective et raisonnable, en attendant une réforme plus globale du système qui se fera dans le respect des processus politiques et démocratiques. 90. Pour ce qui est du but légitime de cette différence, le Gouvernement note que la rente de veuve, instituée en 1948, se fondait sur la présomption selon laquelle l'époux assure l'entretien de son épouse, en particulier quand elle a des enfants. Il expose que, si le gouvernement suisse a depuis essayé plusieurs fois de réformer le régime de la rente de veuve et de veuf en vue d'une harmonisation progressive, ces projets n'ont pas abouti. 91. Concernant la proportionnalité, le Gouvernement observe que la situation des conjoints survivants fait partie des évolutions sociétales dont il faut tenir compte et qu'on ne peut guère les répercuter immédiatement puisqu'elles se produisent de façon progressive, sur de très longues périodes. En outre, selon le Gouvernement, la marge d'appréciation accordée aux États signifie aussi que ceux-ci sont libres de choisir les moyens qu'ils estiment les plus appropriés pour réduire ou supprimer les inégalités qui apparaissent. Ainsi, à ses yeux, lorsque la rente de veuf a été introduite en 1997, l'égalité dans la répartition des rôles entre hommes et femmes n'était pas encore entièrement atteinte. Ce serait la raison pour laquelle le législateur a estimé qu'un veuf ne devait avoir droit à la rente que s'il avait à sa charge des enfants de moins de dix-huit ans. Depuis lors, il aurait plusieurs fois envisagé d'ajuster « vers le bas » les conditions d'octroi de la rente de veuve, mais il y aurait renoncé au motif qu'une égalité stricte n'était pas encore indiquée au vu des réalités sociales. Le Gouvernement soutient à ce titre que l'égalité entre hommes et femmes n'est pas encore complètement atteinte dans les faits en ce qui concerne l'exercice d'une activité rémunérée et la répartition des rôles au sein du couple. Il estime qu'en l'espèce la différence de traitement ne repose donc pas sur des stéréotypes liés au sexe, mais sur une réalité sociale. Il expose qu'en effet, selon les données statistiques disponibles pour 2020, environ 87 % des hommes ayant des enfants de moins de quinze ans travaillaient à temps plein, contre seulement 21 % des femmes ayant des enfants de la même tranche d'âge. Il ajoute que, parmi les 79 % des femmes ayant des enfants de ladite tranche d'âge et travaillant à temps partiel, environ 42 % étaient occupées à moins de 50 %. La situation des pères sur le marché du travail serait donc encore objectivement différente de celle des mères et leur retour à une activité lucrative apparaîtrait plus facile. L'homme, en perdant son épouse, perdrait la personne qui dans les faits s'occupe encore majoritairement des enfants, tandis que la femme, en perdant son époux, perdrait la personne qui de manière prépondérante continue d'entretenir financièrement la famille. Dès lors, on pourrait encore raisonnablement considérer que le besoin de soutien des veufs diminue puis s'éteint à mesure que les enfants grandissent et gagnent en autonomie, alors que le besoin d'accorder un régime plus favorable aux veuves ne disparaîtrait pas complètement lorsque le dernier enfant atteint la majorité. Il s'agirait donc de compenser la situation moins favorable des femmes sur le marché du travail et l'inégale répartition des tâches domestiques qui subsiste. En revanche, de l'avis du Gouvernement, une égalité formelle parfaite des conditions d'octroi des rentes de veuf et de veuve serait difficile à concilier avec l'article 14 de la Convention. 92. Concernant la situation du requérant en l'espèce, le Gouvernement observe qu'il a travaillé jusqu'au décès de son épouse, c'est-à-dire jusqu'à l'âge de quarante ans. Selon le Gouvernement, si l'intéressé a ensuite choisi de s'occuper exclusivement de ses enfants, qui étaient en bas âge, il ne pouvait ignorer que sa rente de veuf allait cesser d'être versée à la majorité de sa fille cadette. Il n'était pas déraisonnable d'exiger de lui qu'il entreprît des démarches en vue de réintégrer le marché du travail, ne fût-ce qu'à temps partiel, dès lors que ses enfants étaient devenus plus autonomes. Or le requérant ne démontrerait pas, concrètement, ce qu'il a entrepris à cet égard et quelles difficultés pratiques il a éventuellement rencontrées. Le Gouvernement souligne en outre qu'en avril 2018 le requérant a eu soixante-cinq ans, âge qui correspond à l'âge ordinaire de la retraite pour les hommes en Suisse et qui lui permet de percevoir une rente de vieillesse. B. Appréciation de la Cour 1. Principes généraux 93. La Cour rappelle que l'article 14 de la Convention offre une protection contre toute discrimination dans la jouissance des droits et libertés garantis par les autres clauses normatives de la Convention et de ses Protocoles. Selon la jurisprudence constante de la Cour, pour qu'un problème se pose au regard de cette disposition, il doit y avoir une différence dans le traitement de personnes placées dans des situations analogues ou comparables. Une telle différence est discriminatoire si elle ne repose pas sur une justification objective et raisonnable, c'est-à-dire si elle ne poursuit pas un but légitime ou s'il n'y a pas un rapport raisonnable de proportionnalité entre les moyens employés et le but visé (voir, parmi beaucoup d'autres, Biao c. Danemark [GC], no 38590/10, § 90, 24 mai 2016, et Khamtokhu et Aksenchik c. Russie [GC], nos 60367/08 et 961/11, § 64, 24 janvier 2017). En d'autres termes, la notion de discrimination englobe d'ordinaire les cas dans lesquels un individu ou un groupe se voit, sans justification adéquate, moins bien traité qu'un autre, même si la Convention ne requiert pas le traitement le plus favorable (Abdulaziz, Cabales et Balkandali c. Royaume-Uni, 28 mai 1985, § 82, série A no 94, et Vallianatos et autres c. Grèce [GC], nos 29381/09 et 32684/09, § 76, CEDH 2013 (extraits)). 94. En ce qui concerne la charge de la preuve sur le terrain de l'article 14 de la Convention, la Cour a déjà dit que, lorsqu'un requérant a établi l'existence d'une différence de traitement, il incombe au Gouvernement de démontrer que cette différence de traitement était justifiée (Biao, précité, § 92, et Khamtokhu et Aksenchik, précité, § 65). 95. La progression vers l'égalité des sexes est aujourd'hui un but important des États membres du Conseil de l'Europe (Konstantin Markin, précité, § 127, et Ünal Tekeli c. Turquie, no 29865/96, § 59, CEDH 2004-X (extraits)). La Cour a ainsi maintes fois déclaré que les différences exclusivement fondées sur le sexe doivent être justifiées par des « considérations très fortes », des « motifs impérieux » ou, autre formule parfois utilisée, par des « raisons particulièrement solides et convaincantes » (Stec et autres, arrêt précité, § 52, Vallianatos et autres, précité, § 77, et Konstantin Markin, précité, § 127). En particulier, des références aux traditions, présupposés d'ordre général ou attitudes sociales majoritaires ayant cours dans un pays donné ne suffisent pas à justifier une différence de traitement fondée sur le sexe (Konstantin Markin, précité, §§ 126-127, X et autres c. Autriche [GC], no 19010/07, § 99, CEDH 2013, et Khamtokhu et Aksenchik, précité, §§ 77-78). Par exemple, les États ne peuvent imposer des traditions qui trouvent leur origine dans l'idée que l'homme joue un rôle primordial et la femme un rôle secondaire dans la famille (Ünal Tekeli, précité, § 63). 96. Il s'ensuit que, si les États contractants doivent bénéficier d'une marge d'appréciation pour choisir le rythme d'adoption des réformes législatives et pour déterminer si et dans quelle mesure des différences entre des situations à d'autres égards analogues justifient des distinctions de traitement, lorsqu'il s'agit de différences de traitement fondées sur le sexe, la marge d'appréciation des États est étroite (X et autres c. Autriche, précité, § 99, et Vallianatos et autres, précité, § 77). 97. Par ailleurs, si la Convention ne limite pas la liberté qu'ont les États contractants de décider s'il convient ou non de mettre en place un quelconque régime de sécurité sociale ou de choisir le type ou le niveau des prestations devant être accordées au titre de pareil régime, dès lors qu'un État décide de créer un régime de prestations ou de pensions, il doit le faire d'une manière compatible avec l'article 14 de la Convention (Stec et autres, arrêt précité, § 53, et Konstantin Markin, précité, § 130). 2. Application de ces principes au cas d'espèce a) Sur l'existence d'un motif de discrimination prohibé par l'article 14 98. Le requérant soutient qu'il a subi une discrimination par rapport aux veuves en raison de l'arrêt du versement de sa rente de veuf intervenu à la majorité de sa fille cadette. Il allègue à cet égard qu'une veuve se trouvant dans la même situation n'aurait pas perdu son droit à une rente. Compte tenu de ce qui précède, le requérant peut en effet se prétendre victime d'une discrimination fondée sur le « sexe » au sens de l'article 14 de la Convention. b) Sur l'existence d'une différence de traitement entre des personnes placées dans des situations analogues ou comparables 99. La Cour constate que lorsqu'il est devenu veuf, en août 1994, le requérant a cessé de travailler pour s'occuper de ses enfants. Ayant bénéficié de la rente de veuf dès son introduction en 1997, il a perdu le droit à cette prestation lorsque sa fille cadette a atteint l'âge de dix-huit ans. Le requérant avait alors cinquante-sept ans ; il ne pouvait donc pas encore prétendre à une pension de vieillesse et n'était plus, selon ses dires, en mesure de trouver un emploi. 100. La Cour observe que l'extinction du droit du requérant à la rente de veuf se fondait sur l'article 24 § 2 de la LAVS qui, pour les veufs uniquement, situe cette extinction au moment où le dernier enfant devient majeur. Les veuves conservent quant à elles le droit à la rente de conjoint survivant même après que leur dernier enfant a atteint la majorité. 101. Il en résulte que le requérant a cessé de percevoir la rente de veuf pour le seul motif qu'il est un homme. En effet, il se trouvait à d'autres égards dans une situation analogue à celle d'une femme et il n'a pas été soutenu qu'il ne remplissait pas telle ou telle autre condition légale d'attribution de cette prestation. 102. Bien que se trouvant dans une situation analogue pour ce qui est de son besoin d'assurer sa subsistance, le requérant n'a pas été traité de la même façon qu'une femme/veuve. Il a donc subi une inégalité de traitement du fait de l'arrêt du versement de sa rente de veuf. 103. Il reste à déterminer si cette différence de traitement entre les veuves et les veufs repose sur une justification objective et raisonnable au regard de l'article 14 de la Convention. c) Sur la question de savoir si la différence de traitement était objectivement et raisonnablement justifiée 104. La Cour ne perd pas de vue que la présente affaire relève du domaine de la protection sociale, qui constitue un ensemble complexe dont il convient de préserver l'équilibre et que, de ce fait, une ample latitude est d'ordinaire laissée à l'État pour prendre des mesures d'ordre général en matière économique ou sociale ( Stec et autres , arrêt précité, § 52). Dans ce contexte, la Cour a déjà admis que les ajustements des systèmes de pension doivent être effectués de manière progressive, prudente et mesurée, car toute autre approche pourrait mettre en péril la paix sociale, la prévisibilité du système des pensions et la sécurité juridique ( Andrle , précité, § 51). 105. Elle rappelle toutefois que seules des considérations très fortes peuvent l'amener à estimer compatible avec la Convention une différence de traitement fondée sur le sexe, et que la marge d'appréciation dont disposent les États pour justifier cette différence est étroite (paragraphes REF paragraph00100 \h \* CharFormat 95- REF paragraph00101 \h \* CharFormat 96 ci-dessus). 106. En l'espèce, la Cour note que, pour justifier la différence de traitement entre les deux sexes relativement au droit à la rente de conjoint survivant, le Gouvernement a soutenu que l'égalité entre hommes et femmes n'était pas encore complètement atteinte dans les faits en ce qui concerne l'exercice d'une activité rémunérée et la répartition des rôles au sein du couple. Selon le Gouvernement, il est encore justifié de se fonder sur la présomption selon laquelle l'époux assure l'entretien financier de son épouse, en particulier lorsqu'elle a des enfants, et, partant, d'accorder aux veuves une protection supérieure à celle des veufs. La différence de traitement litigieuse ne reposerait donc pas sur des stéréotypes liés au sexe, mais sur une réalité sociale (paragraphe REF paragraph00097 \h \* CharFormat 91 ci-dessus). 107. Si pour sa part le Gouvernement a produit des statistiques relatives au pourcentage d'hommes et de femmes qui, ayant des enfants de moins de quinze ans, travaillent à temps plein ou à temps partiel, il n'a été fourni aucune information sur le pourcentage de veuves ou de veufs qui sont parvenus à réintégrer le marché du travail après de longues années d'absence une fois que leurs enfants avaient atteint l'âge de quinze ans ou de la majorité. L'absence d'informations pertinentes est notable, eu égard aux tentatives répétées de réforme du régime des rentes de veuves et de veufs à partir de 2000 et aux conclusions formulées par le Tribunal fédéral dans un arrêt rendu en l'espèce en 2012 (paragraphes REF paragraph00110 \h \* CharFormat 111- REF paragraph00112 \h \* CharFormat 113 ci-dessous). 108. Sur ce point, la Cour observe que dès l'affaire Petrovic (arrêt précité, § 40), puis dans l'affaire Konstantin Markin (arrêt précité, § 140), elle a pris note de l'évolution progressive des sociétés européennes contemporaines vers un partage plus égalitaire entre les hommes et les femmes des responsabilités en matière d'éducation des enfants, et d'une meilleure reconnaissance du rôle des pères auprès des jeunes enfants. Elle en a déduit qu'une disposition générale et automatique, appliquée à un groupe de personnes en fonction de leur sexe, indépendamment de leur situation personnelle, sortait « du cadre d'une marge d'appréciation acceptable, aussi large soit-elle », et était donc « incompatible avec l'article 14 » ( ibidem , § 148). 109. Il convient également de rappeler que la progression vers l'égalité des sexes reste un but important des États membres du Conseil de l'Europe (paragraphe REF paragraph00100 \h \* CharFormat 95 ci-dessus). En témoigne entre autres la Recommandation no R (85) 2 relative à la protection juridique contre la discrimination fondée sur le sexe, adoptée par le Comité des Ministres le 5 février 1985, qui appelle à garantir aux hommes et aux femmes un traitement égal tant au niveau de l'affiliation aux régimes de sécurité sociale et de retraite qu'au niveau des prestations payées par ces régimes (paragraphe REF paragraph00028 \h \* CharFormat 29 ci-dessus). 110. La Cour réaffirme, par conséquent, que des références aux traditions, présupposés d'ordre général ou attitudes sociales majoritaires ayant cours dans un pays donné ne suffisent plus aujourd'hui à justifier une différence de traitement fondée sur le sexe, que celle-ci soit en faveur des femmes ou des hommes. Il s'ensuit que le Gouvernement ne saurait se prévaloir de la présomption selon laquelle l'époux entretient financièrement son épouse (concept du « mari pourvoyeur ») afin de justifier une différence de traitement qui défavorise les veufs par rapport aux veuves. 111. Par ailleurs, tout en admettant que le domaine de la protection sociale fait partie de ceux où les États doivent bénéficier d'une marge d'appréciation pour pouvoir choisir le rythme d'adoption des réformes législatives, la Cour observe que le gouvernement suisse a reconnu dès 1997 que les femmes exerçaient de plus en plus souvent une activité lucrative et qu'il était nécessaire d'accorder une protection aux hommes qui se consacraient aux travaux ménagers et à l'éducation des enfants. Une harmonisation complète des conditions relatives à la rente de veuve et de veuf semble cependant s'être heurtée à cette époque aux contraintes financières et aux critiques qui mettaient en avant les difficultés pour les veuves « plus âgées » de retourner à la vie active (paragraphe REF paragraph00021 \h \* CharFormat 22 ci-dessus). D'autres tentatives entreprises par le gouvernement à partir de 2000 pour réformer le régime de la rente de conjoint survivant, mues par le fait que le système en vigueur n'était plus adapté au contexte d'alors et qu'il était contraire au principe de l'égalité entre hommes et femmes, ont échoué (paragraphes REF P15 \h \* CharFormat 23- REF paragraph00027 \h \* CharFormat 28 ci-dessus). 112. Dans ce contexte, la Cour attache une importance fondamentale aux considérations énoncées dans la présente affaire par le Tribunal fédéral (paragraphe REF P9 \h \* CharFormat 17 ci-dessus). En effet, dans son arrêt du 4 mai 2012, ce dernier a relevé que le législateur était conscient dès l'introduction de la rente de veuf que cette réglementation constituait une distinction inadmissible fondée sur le sexe, qui était contraire à la Constitution. En différenciant les conditions d'octroi de la rente selon qu'il s'agissait d'une veuve ou d'un veuf, le législateur avait opéré une distinction en fonction du sexe qui ne s'imposait ni pour des motifs biologiques ni pour des motifs fonctionnels. Le Tribunal fédéral a également rappelé le message adressé par le Conseil fédéral au Parlement lors de la onzième révision de l'AVS en 2000, indiquant que la règle selon laquelle les veufs n'ont droit à une rente que s'ils ont des enfants de moins de dix-huit ans était contraire au principe de l'égalité entre hommes et femmes et devait donc être adaptée. 113. Pour la Cour, les tentatives de réforme susmentionnées ainsi que l'évaluation de la législation litigieuse par la juridiction suprême du pays, à savoir le Tribunal fédéral, montrent que les anciennes « inégalités de fait » entre les hommes et les femmes ont perdu leur acuité dans la société suisse. Ainsi, les considérations et suppositions sur lesquelles les modalités de la rente de conjoint survivant ont reposé pendant les décennies passées ne sont plus à même de justifier des différences fondées sur le sexe. Il ressort même de l'arrêt du Tribunal fédéral que la réglementation en question est contraire au principe d'égalité entre l'homme et la femme consacré par l'article 8, alinéa 3, de la Constitution suisse. La Cour ajoute qu'à ses yeux cette législation contribue plutôt à perpétuer des préjugés et des stéréotypes concernant la nature ou le rôle des femmes au sein de la société et constitue un désavantage tant pour la carrière des femmes que pour la vie familiale des hommes ( Konstantin Markin , précité, § 141). Dans ce contexte, il convient de rappeler que l'article 2 de la CEDAW (paragraphe REF paragraph00030 \h \* CharFormat 30 ci-dessus) impose aux États parties, notamment, d'assurer par voie de législation ou par d'autres moyens appropriés l'application effective du principe d'égalité des hommes et des femmes, et d'instaurer une protection juridictionnelle des droits des femmes sur un pied d'égalité avec les hommes. 114. Revenant au cas d'espèce, la Cour rappelle qu'après le décès de son épouse le requérant s'est consacré exclusivement à la garde et à l'éducation de ses enfants ainsi qu'aux soins à leur prodiguer, et a renoncé à exercer son métier. Âgé de cinquante-sept ans lorsque le versement de la rente a cessé, il avait arrêté toute activité lucrative depuis plus de seize ans. À cet égard, la Grande Chambre partage l'avis de la chambre (paragraphe 75 de l'arrêt de la chambre) selon lequel il n'y a pas de raison de croire que le requérant aurait eu à cet âge-là, et compte tenu de sa longue absence du marché de travail, moins de difficultés à réintégrer celui-ci qu'une femme dans une situation analogue, ni que l'arrêt du versement de la rente l'aurait touché dans une moindre mesure qu'une veuve dans des circonstances comparables. 115. Compte tenu de ce qui précède, et eu égard à l'étroite marge d'appréciation laissée à l'État défendeur en l'espèce, la Cour estime que le Gouvernement n'a pas démontré qu'il existait des considérations très fortes ou des « raisons particulièrement solides et convaincantes » propres à justifier la différence de traitement fondée sur le sexe qui est dénoncée par le requérant. Elle estime dès lors que l'inégalité de traitement dont le requérant a été victime ne saurait passer pour reposer sur une justification raisonnable et objective. 116. Partant, la Cour conclut qu'il y a eu violation de l'article 14 combiné avec l'article 8 de la Convention. III. SUR L'APPLICATION DE L'ARTICLE 41 DE LA CONVENTION 117.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 Dommage matériel 118. Le requérant réclame la somme de 189 355 CHF pour le dommage matériel qu'il dit avoir subi du fait de l'arrêt du versement de la rente de veuf et des prestations complémentaires. 119. Le Gouvernement estime que, le cas échéant, les juridictions internes seraient mieux placées que la Cour pour évaluer précisément le dommage matériel subi par le requérant. Il soutient notamment que celui-ci pourrait formuler une demande de réparation dans le cadre d'une requête en révision de l'arrêt du Tribunal fédéral du 4 mai 2012. 120. La Cour estime qu'un lien de causalité direct existe entre la violation constatée et le dommage matériel résultant du non-versement de la rente de veuf au requérant à partir du 1er décembre 2010. À l'instar du Gouvernement, elle considère que les juridictions internes sont mieux placées qu'elle pour évaluer précisément le dommage en question, compte tenu notamment du fait que le montant des rentes peut varier d'une année à l'autre (voir, mutatis mutandis , pour une rente d'invalidité, Di Trizio , précité, § 120). En outre, il convient d'avoir égard au caractère subsidiaire du mécanisme de l'article 41, aux termes duquel il appartient à la Cour d'accorder à la partie lésée une satisfaction équitable si le droit interne de l'État défendeur ne permet d'effacer qu'imparfaitement les conséquences d'une violation de la Convention. 121. Cela étant, si l'État défendeur reste de façon générale libre de choisir, sous le contrôle du Comité des Ministres, les moyens de s'acquitter de ses obligations au titre de l'article 46 § 1 de la Convention, pour autant que ces moyens soient compatibles avec les conclusions contenues dans l'arrêt de la Cour ( Verein gegen Tierfabriken Schweiz (VgT) c. Suisse (no 2) [GC], no 32772/02, § 88, CEDH 2009), la Cour a néanmoins indiqué à de nombreuses occasions qu'un nouveau procès ou une réouverture de la procédure, à la demande de l'intéressé, représente en principe un moyen approprié de redresser la violation constatée (voir, parmi d'autres, Di Trizio , précité, § 120, Gençel c. Turquie , no 53431/99, § 27, 23 octobre 2003, et Claes et autres c. Belgique , nos 46825/99 et 6 autres, § 53, 2 juin 2005). 122. En l'espèce, la Cour partage l'avis du Gouvernement selon lequel rien n'empêche le requérant de formuler une demande de réparation dans le cadre d'une requête en révision de l'arrêt du Tribunal fédéral qu'il conteste devant la Cour. Une telle possibilité étant explicitement prévue à l'article 122 de la loi sur le Tribunal fédéral du 17 juin 2005, et rien n'indiquant que cette voie soit illusoire, la Cour estime qu'il n'y a pas lieu d'octroyer un quelconque montant au titre du dommage matériel. 2. Dommage moral 123. Par ailleurs, le requérant demande la somme de 18 935,50 CHF pour le dommage moral qu'il dit avoir subi en raison du manque de contacts avec ses filles dû à la suppression de la rente de veuf, et de la nécessité de recourir à l'aide sociale. 124. Le Gouvernement estime qu'il n'y a pas de lien de causalité entre une discrimination fondée sur le sexe et le dommage moral allégué. Par conséquent, il invite la Cour à rejeter les prétentions du requérant formulées à ce titre et à conclure que le constat de violation constitue, en soi, une satisfaction suffisante. 125. La Cour estime que le requérant a subi un dommage moral dû au refus des autorités de lui accorder une rente de veuf à partir du 1er décembre 2010. Statuant en équité, comme le veut l'article 41, elle considère qu'il y a lieu d'octroyer au requérant la somme de 5 000 euros (EUR) à ce titre. B. Frais et dépens 126. Le requérant demande tout d'abord 3 300 CHF pour les frais de justice engagés devant les juridictions internes, 350 CHF pour l'introduction de la requête devant la Cour et 7 216,45 CHF pour les observations que son avocat a soumises à la chambre. Pour ce qui est de la procédure devant la Grande Chambre, le requérant demande une somme totale de 26 182,20 CHF pour les frais de représentation juridique, de traduction et autres. Il joint à l'appui de cette demande une facture émise le 8 juin 2021 par Me de Weck, exposant le détail de 37 heures et 20 minutes de travail juridique au tarif horaire réduit de 250 CHF, soit 9 300 CHF, plus 6 heures pour un voyage aller-retour à Strasbourg facturé 1 200 CHF, et les frais afférents à ce déplacement, soit 255 CHF, le total s'élevant pour Me de Weck à 11 583,15 CHF, TVA incluse. Les frais de Me Luginbühl sont chiffrés à 14 598,05 CHF, sans facture ni pièce à l'appui de cette demande. Pour les frais de déplacement qu'il a lui-même engagés pour participer à l'audience devant la Grande Chambre, le requérant demande 448,40 CHF, sans fournir de justificatifs. 127. Le Gouvernement se dit prêt à accepter les prétentions du requérant relatives aux frais exposés devant les juridictions internes et à ceux relatifs à l'introduction de la requête, et à admettre la somme de 3 000 EUR allouée par la chambre pour les observations présentées devant elle. En revanche, pour ce qui est des frais et dépens engagés devant la Grande Chambre, le Gouvernement est d'avis que les frais et honoraires des deux représentants du requérant sont manifestement excessifs (il s'appuie sur Neulinger et Shuruk c. Suisse [GC], no 41615/07, § 160, CEDH 2010). Il relève en outre que les honoraires du premier représentant n'ont pas été étayés par des justificatifs conformément aux exigences de l'article 60 § 2 du règlement de la Cour. Le Gouvernement estime donc qu'un montant de 9 000 CHF serait approprié pour couvrir la totalité des frais et dépens exposés devant la Grande Chambre. 128. La Cour rappelle qu'au titre de l'article 41 de la Convention, un requérant ne peut obtenir le remboursement de ses frais et dépens que dans la mesure où se trouvent établis leur réalité, leur nécessité et le caractère raisonnable de leur taux. Selon l'article 60 § 2 du règlement, les prétentions soumises au titre de l'article 41 doivent être chiffrées, ventilées par rubrique et accompagnées des justificatifs pertinents, faute de quoi la Cour peut les rejeter, en tout ou en partie (voir, par exemple, A, B et C c. Irlande [GC], no 25579/05, § 281, CEDH 2010, et Strand Lobben et autres c. Norvège [GC], no 37283/13, § 234, 10 septembre 2019). En l'espèce, compte tenu des documents dont elle dispose et de sa jurisprudence, la Cour juge raisonnable d'allouer au requérant la somme de 6 500 EUR pour les frais engagés devant les juridictions internes, pour l'introduction de la requête et pour les observations présentées devant la chambre. Pour ce qui est de la procédure devant la Grande Chambre, la Cour note que le requérant n'a pas produit de pièces attestant qu'il avait payé ou avait l'obligation de payer tous les frais et dépens qu'il dit avoir exposés pour sa représentation juridique, les tâches de traduction et autres. En l'absence de tels documents, la Cour ne voit rien qui puisse l'amener à admettre la réalité de certains frais et dépens dont le remboursement est demandé par le requérant. Compte tenu des documents dont elle dispose et des critères ci-dessus, la Cour estime raisonnable d'accorder au requérant seulement une partie des sommes réclamées au titre des frais d'avocat exposés devant la Grande Chambre, soit 10 000 EUR. Partant, la Cour octroie au requérant un montant total de 16 500 EUR au titre des frais et dépens. C. Intérêts moratoires 129.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