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20200526_27159_15 vom 26. Mai 2020</w:t>
      </w:r>
    </w:p>
    <w:p>
      <w:r>
        <w:t>Bundesgericht (BGE), 2020-05-26, FR</w:t>
      </w:r>
    </w:p>
    <w:p>
      <w:r>
        <w:rPr>
          <w:b/>
        </w:rPr>
        <w:t xml:space="preserve">Quelle: </w:t>
      </w:r>
      <w:r>
        <w:t>https://mcp.opencaselaw.ch/entscheid/bge_20200526_27159_15</w:t>
      </w:r>
    </w:p>
    <w:p>
      <w:r>
        <w:t>FR: BGE 20200526_27159_15 du 26 mai 2020</w:t>
      </w:r>
    </w:p>
    <w:p>
      <w:r>
        <w:t>IT: BGE 20200526_27159_15 del 26 maggio 2020</w:t>
      </w:r>
    </w:p>
    <w:p>
      <w:pPr>
        <w:pStyle w:val="Heading2"/>
      </w:pPr>
      <w:r>
        <w:t>Regeste</w:t>
      </w:r>
    </w:p>
    <w:p>
      <w:r>
        <w:t>Inhaltsangabe des BJ (2. Quartalsbericht 2020) Recht auf Achtung des Privat- und Familienlebens (Art. 8 EMRK); Streichung im Register (Art. 37 EMRK); Nichtverlängerung der Aufenthaltsbewilligung. Unter Berufung auf Artikel 8 EMRK rügten die Beschwerdeführer (die Mutter und ihre beiden minderjährigen Kinder), dass die Aufenthaltsbewilligung der ersten Beschwerdeführerin nicht verlängert worden ist. Nachdem der Mutter nach der Einreichung der Beschwerde wegen Vorliegen eines Härtefalls eine Aufenthaltsbewilligung erteilt worden ist, besteht nicht mehr die Gefahr, dass sie nach Kamerun weggewiesen wird. Streichung im Register (einstimmig). Synthèse de l'OFJ (2ème rapport trimestriel 2020) Droit au respect de la vie privée et familiale (art. 8 CEDH) ; radiation du rôle (art. 37 CEDH) ; refus de prolongation de l'autorisation de séjour. Invoquant l'article 8 de la Convention, les requérants (la mère et ses deux enfants mineurs) se plaignaient du refus de prolongation de l'autorisation de séjour de la première requérante. Suite à l'octroi d'une autorisation de séjour en faveur de la mère pour cas de rigueur, postérieurement au dépôt de la requête, elle ne court plus de risque d'être renvoyée au Cameroun. Radiation du rôle. Sintesi dell'UFG (2° rapporto trimestriale 2020) Diritto al rispetto della vita privata e familiare (art. 8 CEDU); cancellazione dei ricorsi dal ruolo (art. 37 CEDU); rifiuto di proroga del permesso di soggiorno. Appellandosi all'articolo 8 della Convenzione, i ricorrenti (una madre con i due figli minorenni) hanno contestato la mancata proroga del permesso di soggiorno della madre. Dopo aver presentato tale ricorso, alla madre è stato rilasciato un permesso di soggiorno per caso di rigore e pertanto non corre più il rischio di essere rimpatriata in Camerun. Cancellazione dal ruolo.</w:t>
      </w:r>
    </w:p>
    <w:p>
      <w:pPr>
        <w:pStyle w:val="Heading2"/>
      </w:pPr>
      <w:r>
        <w:t>Erwägungen</w:t>
      </w:r>
    </w:p>
    <w:p>
      <w:r>
        <w:rPr>
          <w:b/>
        </w:rPr>
        <w:t>E. 8</w:t>
      </w:r>
    </w:p>
    <w:p>
      <w:r>
        <w:t>La Cour estime que, suite à l'approbation par le SEM de l'octroi d'une autorisation de séjour en faveur de la première requérante pour cas de rigueur, celle-ci ne court actuellement plus de risque d'être renvoyée au Cameroun. Par contre, elle constate que le Gouvernement n'a pas donné son accord pour un règlement amiable. Dès lors, la Cour ne pourra pas donner suite à la demande des requérants.</w:t>
      </w:r>
    </w:p>
    <w:p>
      <w:r>
        <w:rPr>
          <w:b/>
        </w:rPr>
        <w:t>E. 9</w:t>
      </w:r>
    </w:p>
    <w:p>
      <w:r>
        <w:t>A la lumière de ce qui précède, la Cour considère que le litige a été résolu au sens de l'article 37 § 1 b) de la Convention. Par ailleurs, aucun motif particulier touchant au respect des droits de l'homme garantis par la Convention et ses protocoles n'exige la poursuite de l'examen de la requête en vertu de l'article 37 § 1 in fine de la Convention.</w:t>
      </w:r>
    </w:p>
    <w:p>
      <w:r>
        <w:rPr>
          <w:b/>
        </w:rPr>
        <w:t>E. 10</w:t>
      </w:r>
    </w:p>
    <w:p>
      <w:r>
        <w:t>En conséquence, il y a donc lieu de rayer l'affaire du rôle.</w:t>
      </w:r>
    </w:p>
    <w:p>
      <w:r>
        <w:rPr>
          <w:b/>
        </w:rPr>
        <w:t>E. 11</w:t>
      </w:r>
    </w:p>
    <w:p>
      <w:r>
        <w:t>La Cour rappelle également qu'elle pourrait décider la réinscription au rôle de la présente requête si elle estime que les circonstances le justifient.</w:t>
      </w:r>
    </w:p>
    <w:p>
      <w:r>
        <w:rPr>
          <w:b/>
        </w:rPr>
        <w:t>E. 12</w:t>
      </w:r>
    </w:p>
    <w:p>
      <w:r>
        <w:t>Dans la mesure où les requérants réclament le remboursement des frais engagés pour sa défense devant la Cour, cette dernière rappelle qu'ils sont laissés à son appréciation lorsque la requête est rayée du rôle (article 43 § 4 du Règlement de la Cour).</w:t>
      </w:r>
    </w:p>
    <w:p>
      <w:r>
        <w:rPr>
          <w:b/>
        </w:rPr>
        <w:t>E. 13</w:t>
      </w:r>
    </w:p>
    <w:p>
      <w:r>
        <w:t>En l'espèce, compte tenu des particularités de la cause, la Cour estime raisonnable que la somme de 4 500 EUR soit octroyée aux requérants pour les frais encourus devant la Cour.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