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20110628_66274_09 vom 28. Juni 2011</w:t>
      </w:r>
    </w:p>
    <w:p>
      <w:r>
        <w:t>Bundesgericht (BGE), 2011-06-28, FR</w:t>
      </w:r>
    </w:p>
    <w:p>
      <w:r>
        <w:rPr>
          <w:b/>
        </w:rPr>
        <w:t xml:space="preserve">Quelle: </w:t>
      </w:r>
      <w:r>
        <w:t>https://mcp.opencaselaw.ch/entscheid/bge_20110628_66274_09</w:t>
      </w:r>
    </w:p>
    <w:p>
      <w:r>
        <w:t>FR: BGE 20110628_66274_09 du 28 juin 2011</w:t>
      </w:r>
    </w:p>
    <w:p>
      <w:r>
        <w:t>IT: BGE 20110628_66274_09 del 28 giugno 2011</w:t>
      </w:r>
    </w:p>
    <w:p>
      <w:pPr>
        <w:pStyle w:val="Heading2"/>
      </w:pPr>
      <w:r>
        <w:t>Regeste</w:t>
      </w:r>
    </w:p>
    <w:p>
      <w:r>
        <w:t>Regeste Diese Zusammenfassung existiert nur auf Französisch. DÉCISION D'IRRECEVABILITÉ de la CourEDH: SUISSE: Art. 9 et 14 CEDH. Interdiction de la construction de minarets. Les associations requérantes n'ont pas pour but la construction de mosquées pourvues d'un minaret. Elles n'allèguent d'ailleurs pas avoir l'intention d'ériger de tels bâtiments à l'avenir. Elles ne sont donc pas directement victimes de la violation alléguée de la Convention. La qualité de victimes indirectes ne saurait non plus être envisagée en l'espèce, s'agissant de personnes morales. Les requérantes invoquent le caractère discriminatoire de la disposition constitutionnelle et l'absence de marge d'appréciation des autorités nationales dans sa mise en oeuvre. Toutefois, elles ne font pas valoir que celle-ci a déployé un effet concret à leur égard. En particulier, elles ne se plaignent pas du départ de leurs membres ou d'une perte de leur propre prestige auprès de ceux-ci. Les griefs soulevés constituent de simples conjectures qui ne peuvent justifier leur qualité de victimes. De surcroît, selon la Cour, les juridictions suisses seraient en mesure d'examiner la compatibilité avec la Convention d'un éventuel refus d'autoriser la construction d'un minaret. La requête constitue une actio popularis et est incompatible ratione personae avec les dispositions de la Convention. Conclusion: requête déclarée irrecevable. Inhaltsangabe des BJ(3. Quartalsbericht 2011) Gedanken-, Gewissens- und Religionsfreiheit (Art. 9 EMRK), Diskriminierungsverbot (Art. 14 EMRK) und Recht auf wirksame Beschwerde (Art. 13 EMRK); unzulässige Beschwerde aufgrund fehlender Opfereigenschaft. Die Beschwerdeführer machten geltend, dass die Verfassungsbestimmung, die den Bau von Minaretten verbietet, gegen die Religionsfreiheit verstosse und sie wegen ihrer Religion diskriminiere. Unter Berufung auf das Recht auf wirksame Beschwerde rügte ein Beschwerdeführer zudem das Fehlen eines wirksamen Rechtsmittels zur gerichtlichen Feststellung einer allfälligen Konventionswidrigkeit der Verfassungsnorm. Der Gerichtshof befand, dass die Beschwerdeführer nicht Opfer einer Konventionsverletzung sind. Diese konnten nicht dartun, dass die Verfassungsbestimmung sich konkret auf sie auswirkt oder ihre Aktivitäten davon berührt werden. Zudem hatten sie nicht vorgebracht, dass sie einen Minarettbau planten, und die blosse Möglichkeit eines zukünftigen Minarettbaus reicht nicht aus. Es liegen keine aussergewöhnlichen Umstände vor, die die Annahme der Opfereigenschaft rechtfertigen würden. Unter Bezugnahme auf ein bundesgerichtliches Urteil hält der Entscheid fest, dass das Bundesgericht in einem konkreten Anwendungsfall die Vereinbarkeit der Verweigerung einer Bewilligung mit der EMRK überprüfen könnte. Bezüglich der Rüge des fehlenden Rechtsmittels vertritt der Gerichtshof die Ansicht, dass Art. 13 EMRK kein Rechtsmittel garantiere, welches die Anfechtung der Gesetzgebung eines Staates vor einem innerstaatlichen Gericht ermöglicht. Die Beschwerden werden gem. Art. 35 Abs. 3 und 4 EMRK für unzulässig erklärt (Mehrheitsentscheid).</w:t>
      </w:r>
    </w:p>
    <w:p>
      <w:r>
        <w:t>Regeste DÉCISION D'IRRECEVABILITÉ de la CourEDH: SUISSE: Art. 9 et 14 CEDH. Interdiction de la construction de minarets. Les associations requérantes n'ont pas pour but la construction de mosquées pourvues d'un minaret. Elles n'allèguent d'ailleurs pas avoir l'intention d'ériger de tels bâtiments à l'avenir. Elles ne sont donc pas directement victimes de la violation alléguée de la Convention. La qualité de victimes indirectes ne saurait non plus être envisagée en l'espèce, s'agissant de personnes morales. Les requérantes invoquent le caractère discriminatoire de la disposition constitutionnelle et l'absence de marge d'appréciation des autorités nationales dans sa mise en oeuvre. Toutefois, elles ne font pas valoir que celle-ci a déployé un effet concret à leur égard. En particulier, elles ne se plaignent pas du départ de leurs membres ou d'une perte de leur propre prestige auprès de ceux-ci. Les griefs soulevés constituent de simples conjectures qui ne peuvent justifier leur qualité de victimes. De surcroît, selon la Cour, les juridictions suisses seraient en mesure d'examiner la compatibilité avec la Convention d'un éventuel refus d'autoriser la construction d'un minaret. La requête constitue une actio popularis et est incompatible ratione personae avec les dispositions de la Convention. Conclusion: requête déclarée irrecevable. Synthèse de l'OFJ(3ème rapport trimestriel 2011) Liberté de pensée, de conscience et de religion (art. 9 CEDH), interdiction de discrimination (art. 14 CEDH) et droit à un recours effectif (art. 13 CEDH); requête irrecevable en raison du défaut de la qualité de victime. Les requérants font valoir que la disposition constitutionnelle qui interdit la construction de minarets viole la liberté de religion et les discrimine du fait de leur religion. Un des requérants invoque en outre le droit à un recours efficace et se plaint de l'absence d'un recours efficace permettant la constatation judiciaire de l'éventuelle non-conformité de la norme constitutionnelle avec la Convention. La Cour a constaté que les requérants ne sont pas victimes d'une violation de la Convention. Ils n'ont pas réussi à démontrer que la disposition constitutionnelle litigieuse les affectait concrètement ou affectait leurs activités. Ils n'ont en outre pas fait valoir qu'ils avaient l'intention d'ériger un minaret et la simple possibilité de la construction future d'un minaret ne suffit pas. Il n'existe pas, en l'espèce, de circonstances tout à fait exceptionnelles susceptibles de justifier la qualité de victimes des requérants. Se référant à un arrêt du Tribunal fédéral, l'arrêt dispose que, dans un cas d'application concret, le Tribunal fédéral pourrait examiner la compatibilité d'un refus d'autorisation avec la CEDH. En ce qui concerne le grief du défaut de recours efficace, la Cour a estimé que l'article 13 CEDH ne garantit pas une voie de droit qui permette de mettre en cause la législation d'un Etat devant un tribunal national. Les requêtes ont été déclarées irrecevables en vertu de l'art. 35 al. 3 et 4 CEDH (majorité).</w:t>
      </w:r>
    </w:p>
    <w:p>
      <w:r>
        <w:t>Regesto Questo riassunto esiste solo in francese. DÉCISION D'IRRECEVABILITÉ de la CourEDH: SUISSE: Art. 9 et 14 CEDH. Interdiction de la construction de minarets. Les associations requérantes n'ont pas pour but la construction de mosquées pourvues d'un minaret. Elles n'allèguent d'ailleurs pas avoir l'intention d'ériger de tels bâtiments à l'avenir. Elles ne sont donc pas directement victimes de la violation alléguée de la Convention. La qualité de victimes indirectes ne saurait non plus être envisagée en l'espèce, s'agissant de personnes morales. Les requérantes invoquent le caractère discriminatoire de la disposition constitutionnelle et l'absence de marge d'appréciation des autorités nationales dans sa mise en oeuvre. Toutefois, elles ne font pas valoir que celle-ci a déployé un effet concret à leur égard. En particulier, elles ne se plaignent pas du départ de leurs membres ou d'une perte de leur propre prestige auprès de ceux-ci. Les griefs soulevés constituent de simples conjectures qui ne peuvent justifier leur qualité de victimes. De surcroît, selon la Cour, les juridictions suisses seraient en mesure d'examiner la compatibilité avec la Convention d'un éventuel refus d'autoriser la construction d'un minaret. La requête constitue une actio popularis et est incompatible ratione personae avec les dispositions de la Convention. Conclusion: requête déclarée irrecevable. Sintesi dell'UFG(3° rapporto trimestriale 2011) Libertà di pensiero, di coscienza e di religione (art. 9 CEDU), divieto di discriminazione (art. 14 CEDU) e diritto a un ricorso effettivo (art. 13 CEDU); ricorso irricevibile data l'assenza della qualità di vittima dei ricorrenti. I ricorrenti hanno affermato che la disposizione costituzionale che proibisce la costruzione di minareti violerebbe la libertà religiosa e costituirebbe una discriminazione basata sulla religione. Uno dei ricorrenti, invocando il diritto a un ricorso effettivo, ha contestato inoltre l'assenza di rimedi giuridici efficaci per accertare in sede giudiziaria un'eventuale incompatibilità della norma costituzionale con la Convenzione. La Corte ha statuito che i ricorrenti non possono essere considerati vittime di una violazione della Convenzione. Essi non sono infatti in grado di dimostrare che la disposizione costituzionale abbia avuto ripercussioni concrete per le loro persone o le loro attività. Inoltre, in precedenza, non avevano espresso alcuna intenzione di edificare un minareto e la semplice possibilità che possano decidere di costruirne uno in futuro non è sufficiente. La Corte constata altresì l'assenza di circostanze eccezionali che consentano di considerare i ricorrenti come delle vittime. Richiamandosi a una sentenza del Tribunale federale, la Corte afferma che, dinanzi a un caso concreto di applicazione, il Tribunale federale è in grado di esaminare la compatibilità di un eventuale rifiuto di costruzione di un minareto con la CEDU. In riferimento alla contestata assenza di rimedi giuridici, la Corte afferma infine che l'articolo 13 CEDU non prevede alcun rimedio giuridico che permetta di impugnare la legislazione di uno Stato dinanzi a un tribunale nazionale. La Corte ha dichiarato irricevibili i ricorsi conformemente all'articolo 35 paragrafi 3 e 4 CEDU (decisione a maggioranza).</w:t>
      </w:r>
    </w:p>
    <w:p>
      <w:pPr>
        <w:pStyle w:val="Heading2"/>
      </w:pPr>
      <w:r>
        <w:t>Erwägungen</w:t>
      </w:r>
    </w:p>
    <w:p>
      <w:r>
        <w:rPr>
          <w:b/>
        </w:rPr>
        <w:t>E. 2</w:t>
      </w:r>
    </w:p>
    <w:p>
      <w:r>
        <w:t>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 et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Les requérantes considèrent que le minaret est intimement lié à la religion musulmane. En conséquence, elles estiment que son interdiction constitue une restriction de la pratique religieuse frappant l'ensemble des musulmans. Elles allèguent que cette interdiction ne poursuit aucun but légitime et qu'elle est disproportionnée. De surcroît, elles soutiennent qu'elle est constitutive d'une différence de traitement ne reposant sur aucune justification raisonnable et qu'il s'agit donc d'une discrimination prohibée. Le Gouvernement relève que même si les requérantes représentent une grande partie des musulmans de Suisse, les violations alléguées des articles 9 et 14 de la Convention ne pourraient se réaliser que dans l'hypothèse d'un refus par les autorités compétentes de délivrer une autorisation de construire un minaret. Tel ne serait pas le cas en l'espèce, les requérantes ne prétendant pas avoir demandé une telle autorisation. Le Gouvernement est donc d'avis que les requérantes n'ont pas la qualité de victimes des violations dénoncées de la Convention et que leur requête constitue une actio popularis . De plus, le Gouvernement observe que l'article 190 de la constitution suisse ne s'oppose pas à ce qu'à l'occasion d'un recours dirigé contre un acte concret, devant le Tribunal fédéral, les requérantes se plaignent qu'une disposition de la constitution suisse viole le droit international public, dont fait partie la Convention. Il relève d'ailleurs que dans un arrêt du 21 janvier 2010, la juridiction suprême a accepté d'examiner la compatibilité d'une disposition constitutionnelle avec la Convention. Le Gouvernement estime, par ailleurs, que les requérantes n'ont pas épuisé les voies de recours internes. Finalement, il relève qu'on ne saurait interpréter l'issue de la votation populaire comme une preuve de la volonté du peuple suisse de discriminer les musulmans résidant en Suisse. Les requérantes combattent l'exception préliminaire soulevée par le Gouvernement. Se référant à l'arrêt de la Cour rendu dans l'affaire Open Door et Dublin Well Woman c. Irlande , elles rétorquent que leur requête ne constitue pas une actio popularis . Elles soutiennent qu'elles sont directement victimes des effets de la modification constitutionnelle litigieuse parce que celle-ci s'avère discriminatoire tant à leur égard qu'à celui de tout musulman se trouvant en Suisse. Concernant l'épuisement des voies de recours internes, les requérantes rappellent que les recours à exercer avant de saisir la Cour doivent exister à un degré suffisant de certitude, en pratique comme en théorie. Elles estiment ne pas avoir à épuiser des recours internes aléatoires, dont l'absence de succès est très probable ou qui ne reposent sur aucune jurisprudence nationale attestant de leur effectivité. Elles relèvent, à ce propos, que le droit suisse ne connaît aucun mécanisme de contrôle de la conformité des dispositions constitutionnelles avec la Convention. De surcroît, la précision de l'interdiction ne laisserait aucune marge de manoeuvre aux autorités suisses, si bien que les musulmans résidant en Suisse subissent directement l'effet de la disposition constitutionnelle litigieuse, rendant tout recours illusoire. La tierce partie ne se prononce pas sur la recevabilité de la requête. La Cour rappelle que la notion de « victime » au sens de l' article 34 de la Convention doit être interprétée de façon autonome et indépendante des notions internes telles que celles d'intérêt ou de qualité pour agir ( Sanles Sanles c. Espagne (déc.), no 48335/99, CEDH 2000-XI ; Gorraiz Lizarraga et autres c. Espagne , no 62543/00 , § 35, CEDH 2004-III ; Tourkiki Enosi Xanthis et autres c. Grèce , no 26698/05, § 38, 27 mars 2008). Elle concerne au premier chef les victimes directes de la violation alléguée, soit les personnes directement touchées par les faits prétendument constitutifs de l'ingérence ( Norris c. Irlande , 26 octobre 1988, § 31, série A no 142 ; Open Door et Dublin Well Woman c. Irlande , 29 octobre 1992, § 43, série A no 246-A ; Otto-Preminger-Institut c. Autriche , 20 septembre 1994, §§ 39-41, série A no 295-A ; Tanrikulu et autres c. Turquie (déc.), no 40150/98, 6 novembre 2001 ; SARL du Parc d'Activités de Blotzheim c. France , no 72377/01, § 20, 11 juillet 2006). La Cour accepte, à titre exceptionnel, d'examiner une requête émanant d'une personne qui n'aurait été qu'indirectement atteinte par la violation alléguée de la Convention ( Vatan c. Russie , no 47978/99, § 48, 7 octobre 2004). C'est ainsi qu'elle a reconnu la qualité de victime indirecte à des proches de la victime directe, tels que l'époux d'une femme contrainte de subir un examen gynécologique ( Fidan c. Turquie (déc.), no 24209/94, 29 février 2000) ou le neveu d'une personne décédée de manière suspecte ( Yasa c. Turquie , 2 septembre 1998, §§ 61-66, Recueil des arrêts et décisions 1998-VI). Par ailleurs, la Cour reconnaît, également à titre très exceptionnel, la qualité de victime à certaines personnes susceptibles d'être touchées par les faits prétendument constitutifs de l'ingérence. C'est ainsi qu'elle a admis la notion de victime potentielle, dans les cas suivants : lorsque le requérant n'était pas en mesure de démontrer que la législation qu'il incriminait lui avait été effectivement appliquée, du fait du caractère secret des mesures qu'elle autorisait ( Klass et autres c. Allemagne , 6 septembre 1978, § 34, série A no 28) ; lorsque le requérant était obligé de changer de comportement sous peine de poursuites pénales ( Dudgeon c. Royaume-Uni , 22 octobre 1981, §§ 40-41, série A no 45 ; Norris précité, § 29 ; Bowman c. Royaume-Uni , 19 février 1998, § 29, Recueil 1998-I) ou lorsque le requérant faisait partie d'une catégorie de personnes risquant de subir directement les effets de la législation critiquée ( Marckx c. Belgique , 13 juin 1979, § 27, série A no 31 ; Johnston et autres c. Irlande , 18 décembre 1986, § 42, série A no 112 ; Open Door et Dublin Well Woman précité, §§ 43-44 ; S.L. c. Autriche (déc.), no 45330/99, 22 novembre 2001 ; Burden c. Royaume-Uni [GC], no 13378/05 , § 35, CEDH 2008-). En tout état de cause, que la victime soit directe, indirecte ou potentielle, il doit exister un lien entre le requérant et le préjudice qu'il estime avoir subi du fait de la violation alléguée ( Taurira et autres c. France , no 28204/95, décision de la Commission du 4 décembre 1995, Décisions et rapports (DR) 83-A, p. 130 ; Association des amis de Saint-Raphaël et de Fréjus et autres c. France , no 38192/97, décision de la Commission du 1er juillet 1998, DR 94-A, p. 124 ; Comité des médecins à diplômes étrangers et autres c. France (déc.), nos 39527/98 et 39531/98, 30 mars 1999 ; Gorraiz Lizarraga précité, § 35, CEDH 2004-III). En effet, la Convention n'envisage pas la possibilité d'engager une actio popularis aux fins de l'interprétation des droits qui y sont reconnus ; elle n'autorise pas non plus des requérants à se plaindre d'une disposition de droit interne simplement parce qu'il leur semble, sans qu'ils en aient directement subi les effets, qu'elle enfreint la Convention ( Norris précité, § 31, série A no 142 ; Sejdic et Finci c. Bosnie-Herzegovine [GC], nos 27996/06 et 34836/06, § 28, 22 décembre 2009). S'agissant des associations à but idéal, la Cour considère qu'elles ne sauraient se prétendre elles-mêmes victimes de mesures qui auraient porté atteinte aux droits que la Convention reconnaît à ses membres ( Association des amis de Saint-Raphaël et de Fréjus et autres précitée ; Conka et autres, la ligue des droits de l'homme c. Belgique (déc.) no 51564/99, 13 mars 2001). Le fait qu'elles constituent un rassemblement d'individus ne saurait engendrer dans leur chef des droits analogues à ceux dont bénéficient leurs membres ( Grande Oriente d'Italia di Palazzo Giustiniani c. Italie (déc.), no 35972/97, 21 octobre 1999). Toutefois, la Cour admet qu'une association puisse se plaindre d'ingérences ayant pour conséquence le départ d'un certain nombre de membres et une perte de prestige de l'association elle-même ( Grande Oriente d'Italia di Palazzo Giustiniani c. Italie , no 35972/97 , § 15, CEDH 2001-VIII). En l'espèce, la Cour relève que les associations requérantes n'ont pas pour but la construction de mosquées pourvues d'un minaret, pas plus qu'elles n'allèguent avoir l'intention d'ériger de tels bâtiments à l'avenir. Elles ne sont donc pas directement victimes de la violation alléguée de la Convention. La qualité de victime indirecte ne saurait non plus être envisagée en l'espèce, s'agissant de personnes morales. Reste toutefois à examiner si les associations requérantes peuvent se voir reconnaître la qualité de victime potentielle, dans la mesure où la modification constitutionnelle litigieuse serait susceptible d'empêcher la réalisation de leur but social, soit l'assistance culturelle et spirituelle aux musulmans résidant en Suisse (voir, mutatis mutandis, Ada Rossi et sept autres requêtes c. Italie (déc.), no 55185/08, CEDH 2008-...). Sur ce point, la Cour relève que les requérantes invoquent le caractère discriminatoire de la disposition constitutionnelle litigieuse et l'absence de marge d'appréciation reconnue aux autorités nationales dans sa mise en oeuvre. Elles ne mettent donc en avant aucun commencement d'application de cette disposition et n'allèguent pas qu'elle ait déployé un quelconque effet concret. En particulier, et contrairement à l'affaire Grande Oriente d'Italia di Palazzo Giustiniani c. Italie, les requérantes ne se plaignent pas du départ de leurs membres ou d'une perte de leur propre prestige auprès de ceux-ci. La Cour en déduit que les activités des requérantes ne seront pas affectées par la modification constitutionnelle litigieuse ( mutatis mutandis, Fédération chrétienne des témoins de Jéhovah de France c. France, no 53430/99, 6 novembre 2001). Les requérantes n'ayant pas produit des indices raisonnables et convaincants de la probabilité d'une réalisation d'une violation les concernant personnellement (voir, mutatis mutandis , Segi et Gestoras Pro-Amnistía et autres c. Allemagne, Autriche, Belgique, Danemark, Espagne, Finlande, France, Grèce, Irlande, Italie, Luxembourg, Pays-Bas, Portugal, Royaume-Uni et Suède (déc.), nos 6422/02 et 9916/02, CEDH 2002-V), les griefs qu'elles soulèvent constituent de simples conjectures qui ne peuvent justifier leur qualité de victimes ( Senator Lines GmbH c. Autriche, Belgique, Danemark, Finlande, France, Allemagne, Grèce, Irlande, Italie, Luxembourg, Pays-Bas, Portugal, Espagne, Suède et Royaume-Uni (déc.) [GC], no 56672/00, 10 mars 2004, CEDH 2004-IV). De surcroît, et au vu de l'arrêt du Tribunal fédéral du 21 janvier 2010 (voir droit interne pertinent), la Cour est d'avis que les juridictions suisses seraient en mesure d'examiner la compatibilité avec la Convention d'un éventuel refus d'autoriser la construction d'un minaret. La Cour parvient donc à la conclusion que sa saisine par les requérantes a pour seul but de contester une disposition constitutionnelle et que celles-ci n'ont pas apporté la preuve de circonstances tout à fait exceptionnelles susceptibles de leur conférer la qualité de victimes. Au vu de ce qui précède, la Cour considère que la présente requête constitue une actio popularis et est donc incompatible ratione personae avec les dispositions de la Convention. Partant, elle doit être rejetée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