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20100706_41615_07 vom 6. Juli 2010</w:t>
      </w:r>
    </w:p>
    <w:p>
      <w:r>
        <w:t>Bundesgericht (BGE), 2010-07-06, FR</w:t>
      </w:r>
    </w:p>
    <w:p>
      <w:r>
        <w:rPr>
          <w:b/>
        </w:rPr>
        <w:t xml:space="preserve">Quelle: </w:t>
      </w:r>
      <w:r>
        <w:t>https://mcp.opencaselaw.ch/entscheid/bge_20100706_41615_07</w:t>
      </w:r>
    </w:p>
    <w:p>
      <w:r>
        <w:t>FR: BGE 20100706_41615_07 du 6 juillet 2010</w:t>
      </w:r>
    </w:p>
    <w:p>
      <w:r>
        <w:t>IT: BGE 20100706_41615_07 del 6 luglio 2010</w:t>
      </w:r>
    </w:p>
    <w:p>
      <w:pPr>
        <w:pStyle w:val="Heading2"/>
      </w:pPr>
      <w:r>
        <w:t>Regeste</w:t>
      </w:r>
    </w:p>
    <w:p>
      <w:r>
        <w:t>Regeste Diese Zusammenfassung existiert nur auf Französisch. SUISSE: Art. 8 CEDH. Retour en Israël d'un enfant déplacé de manière illicite en Suisse par sa mère. L'ordre de retour prononcé par le Tribunal fédéral reposait sur une base légale suffisante et avait pour but légitime de protéger les droits et libertés de l'enfant et de son père. Au vu des changements survenus dans la situation de l'enfant et de la mère et exprimés dans l'ordonnance de mesures provisionnelles du tribunal d'arrondissement de Lausanne du 29 juin 2009, la Cour estime qu'il n'est pas dans l'intérêt supérieur de l'enfant de retourner en Israël. En effet, un retour constituerait un danger pour lui et ne pourrait se faire qu'avec sa mère pour ne pas risquer un traumatisme important. Cette dernière subirait quant à elle une ingérence disproportionnée dans son droit au respect de sa vie familiale si elle était contrainte à repartir en Israël (ch. 89 - 151). Conclusion: violation de l'art. 8 CEDH. N.B. Cet arrêt de la Grande Chambre fait suite à la décision d'une chambre, qui était arrivée à une conclusion différente par arrêt du 08.01.2009. Inhaltsangabe des BJ(3. Quartalsbericht 2010) Art. 8 EMRK, Recht auf Achtung des Privat- und Familienlebens; Kindsrückführung. Die Anordnung der Rückkehr eines siebenjährigen Kindes nach Israel, das 2005 von seiner Mutter in die Schweiz entführt wurde, ist mit dem Kindeswohl nicht vereinbar. Auch wenn die Schweiz im Zeitpunkt des Bundesgerichtsurteils mit der Anordnung der Rückkehr ihren Ermessensspielraum nicht überschritten hat, müssen die inzwischen eingetretenen Entwicklungen - die durch die Anordnung von provisorischen Massnahmen zum Verbleib des Kindes in der Schweiz auch durch den Gerichtshof selber verursacht wurden - mit berücksichtigt werden. Namentlich der fünfjährige Aufenthalt des Kindes in der Schweiz, das eingeschränkte Besuchsrecht des Vaters in Israel sowie eine mögliche Gefängnisstrafe der Mutter in Israel führen, bei einer Rückführung des Kindes, zu einem ungerechtfertigten Eingriff in das Recht auf Achtung des Privat- und Familienlebens sowohl des Kindes als auch der Mutter. Verletzung Artikel 8 EMRK (16 gegen 1 Stimme). Umstossung des Kammer-Urteils vom 8. Januar 2009 (siehe 1. Quartalsbericht 2009).</w:t>
      </w:r>
    </w:p>
    <w:p>
      <w:r>
        <w:t>Regeste SUISSE: Art. 8 CEDH. Retour en Israël d'un enfant déplacé de manière illicite en Suisse par sa mère. L'ordre de retour prononcé par le Tribunal fédéral reposait sur une base légale suffisante et avait pour but légitime de protéger les droits et libertés de l'enfant et de son père. Au vu des changements survenus dans la situation de l'enfant et de la mère et exprimés dans l'ordonnance de mesures provisionnelles du tribunal d'arrondissement de Lausanne du 29 juin 2009, la Cour estime qu'il n'est pas dans l'intérêt supérieur de l'enfant de retourner en Israël. En effet, un retour constituerait un danger pour lui et ne pourrait se faire qu'avec sa mère pour ne pas risquer un traumatisme important. Cette dernière subirait quant à elle une ingérence disproportionnée dans son droit au respect de sa vie familiale si elle était contrainte à repartir en Israël (ch. 89 - 151). Conclusion: violation de l'art. 8 CEDH. N.B. Cet arrêt de la Grande Chambre fait suite à la décision d'une chambre, qui était arrivée à une conclusion différente par arrêt du 08.01.2009. Synthèse de l'OFJ(3ème rapport trimestriel 2010) Art. 8 CEDH, droit au respect de la vie privée et familiale ; retour d'un enfant enlevé. La décision qu'un enfant de sept ans, qui avait été illégalement amené en Suisse par sa mère en 2005, doive retourner en Israël n'est pas compatible avec l'intérêt supérieur de l'enfant. Relevant qu'au moment de l'arrêt du Tribunal fédéral, la Suisse n'avait pas dépassé sa marge d'appréciation, la Cour prit en compte les développements intervenus entre temps - aussi provoqués par elle-même, puisqu'elle ordonna des mesures provisoires permettant à l'enfant de rester en Suisse durant la procédure. L'enfant ayant passé cinq ans en Suisse, le père ne disposant que d'un droit de visite restreint et une peine de prison à l'encontre de la mère ne pouvant être entièrement exclue, le retour de l'enfant constituerait une atteinte disproportionnée au droit de l'enfant et de la mère au respect de la vie privée et familiale. Violation de l'article 8 CEDH (16 voix contre 1). Renversement de l'arrêt de la Chambre du 8 janvier 2009 (cf. rapport pour le 1er trimestre 2009).</w:t>
      </w:r>
    </w:p>
    <w:p>
      <w:r>
        <w:t>Regesto Questo riassunto esiste solo in francese. SUISSE: Art. 8 CEDH. Retour en Israël d'un enfant déplacé de manière illicite en Suisse par sa mère. L'ordre de retour prononcé par le Tribunal fédéral reposait sur une base légale suffisante et avait pour but légitime de protéger les droits et libertés de l'enfant et de son père. Au vu des changements survenus dans la situation de l'enfant et de la mère et exprimés dans l'ordonnance de mesures provisionnelles du tribunal d'arrondissement de Lausanne du 29 juin 2009, la Cour estime qu'il n'est pas dans l'intérêt supérieur de l'enfant de retourner en Israël. En effet, un retour constituerait un danger pour lui et ne pourrait se faire qu'avec sa mère pour ne pas risquer un traumatisme important. Cette dernière subirait quant à elle une ingérence disproportionnée dans son droit au respect de sa vie familiale si elle était contrainte à repartir en Israël (ch. 89 - 151). Conclusion: violation de l'art. 8 CEDH. N.B. Cet arrêt de la Grande Chambre fait suite à la décision d'une chambre, qui était arrivée à une conclusion différente par arrêt du 08.01.2009. Sintesi dell'UFG(3° rapporto trimestriale 2010) Articolo 8 CEDU (Diritto al rispetto della vita privata e familiare); ritorno di un minore rapito. La decisione secondo cui un bambino di sette anni, portato in Svizzera illegalmente da sua madre nel 2005, debba tornare in Israele non è compatibile con l'interesse superiore del minore. Nonostante la Svizzera, al momento della sentenza del Tribunale federale non abbia oltrepassato il margine d'apprezzamento, devono essere considerati gli sviluppi che si sono realizzati nel frattempo e che sono stati provocati anche dalla decisione della Corte stessa di adottare provvedimenti provvisori affinché il minore potesse restare in Svizzera durante la procedura. Considerato che il minore ha soggiornato per cinque anni in Svizzera, che il diritto di visita del padre in Israele è limitato e che la madre potrebbe incorrere in una pena detentiva in Israele, il ritorno del minore costituirebbe un'ingerenza sproporzionata nel diritto del minore e della madre al rispetto della vita privata e familiare. La Corte ritiene violato l'articolo 8 CEDU (16 voti contro 1). Revoca della decisione della Camera dell'8 gennaio 2009 (cfr. rapporto sul 1° trimestre 2009).</w:t>
      </w:r>
    </w:p>
    <w:p>
      <w:pPr>
        <w:pStyle w:val="Heading2"/>
      </w:pPr>
      <w:r>
        <w:t>Erwägungen</w:t>
      </w:r>
    </w:p>
    <w:p>
      <w:r>
        <w:rPr>
          <w:b/>
        </w:rPr>
        <w:t>E. 1</w:t>
      </w:r>
    </w:p>
    <w:p>
      <w:r>
        <w:t>Les Etats parties respectent le droit de l'enfant à la liberté de pensée, de conscience et de religion.</w:t>
      </w:r>
    </w:p>
    <w:p>
      <w:r>
        <w:rPr>
          <w:b/>
        </w:rPr>
        <w:t>E. 2</w:t>
      </w:r>
    </w:p>
    <w:p>
      <w:r>
        <w:t>Dans tous les actes relatifs aux enfants, qu'ils soient accomplis par des autorités publiques ou des institutions privées, l'intérêt supérieur de l'enfant doit être une considération primordiale.</w:t>
      </w:r>
    </w:p>
    <w:p>
      <w:r>
        <w:rPr>
          <w:b/>
        </w:rPr>
        <w:t>E. 3</w:t>
      </w:r>
    </w:p>
    <w:p>
      <w:r>
        <w:t>La notion de « droit de garde » au sens de la Convention de La Haye 65. L'article 5 a) de la Convention de La Haye définit le droit de garde comme « le droit portant sur les soins de la personne de l'enfant, et en particulier celui de décider de son lieu de résidence ». La convention reconnaît que le droit de garde peut notamment résulter d'une attribution de plein droit, d'une décision judiciaire ou administrative, ou d'un accord en vigueur selon le droit de l'Etat dans lequel l'enfant avait sa résidence habituelle immédiatement avant son déplacement ou son non-retour (article 3 in fine ). Le rapport explicatif de la convention souligne l'intention des auteurs de protéger l'exercice de tous les modes de garde de l'enfant, et reconnaît qu'il peut y avoir déplacement ou non-retour illicite même si les parents ont la garde conjointe de leur enfant : « [A]ux termes de l'article 3, le droit de garde peut avoir été attribué, seul ou conjointement, à la personne qui demande qu'on en respecte l'exercice. [...] Or, dans l'optique adoptée par la Convention, le déplacement d'un enfant par l'un des titulaires de la garde conjointe, sans le consentement de l'autre titulaire, est également illicite ; ce caractère illicite proviendrait, dans ce cas précis, non pas d'une action contraire à la loi, mais du fait qu'une telle action aurait ignoré les droits de l'autre parent, également protégé par la loi, et interrompu leur exercice normal. » (Rapport explicatif d'Elisa Pérez-Vera, Actes et documents de la Quatorzième session, Tome III, Enlèvement d'enfants, Conférence de La Haye de droit international privé, § 71, pp. 447-448) 66. Les auteurs de la convention ont créé une définition autonome du droit de garde, tout à fait distincte des interprétations faites de cette notion en droit interne. Cette autonomie a été confirmée dans les « Conclusions générales de la Commission spéciale d'octobre 1989 sur le fonctionnement de la Convention de La Haye du 25 octobre 1980 sur les aspects civils de l'enlèvement international d'enfants », selon lesquelles « le « droit de garde » visé dans la Convention sur les aspects civils de l'enlèvement international d'enfants constitu[e] un concept autonome, ce qui [a] pour conséquence qu'un tel droit ne coïncid[e] pas nécessairement avec des droits qualifiés de « droit de garde » ou de « custody rights » résultant de la loi d'un pays particulier ou d'une juridiction de ce pays. [...] l'attribution à un seul parent de la « custody » selon la loi nationale ne signifie pas nécessairement que tous les « rights of custody » au sens de la Convention de La Haye sont accordés à ce même parent. Chaque système juridique national possédant sa propre terminologie à propos des droits relatifs à la protection des enfants et à l'autorité parentale - au point que certains systèmes anglophones n'utilisent pas le terme « custody » - il importe d'examiner le contenu des droits sans s'en tenir à leur désignation. » (Conclusions générales de la Commission spéciale d'octobre 1989 sur le fonctionnement de la Convention de La Haye du 25 octobre 1980 sur les aspects civils de l'enlèvement international d'enfants, § 9, pp. 3-4) 67. L'autonomie du concept de « droit de garde » a encore été confirmée lors de la deuxième réunion de la Commission spéciale, au cours de laquelle a notamment été adoptée la conclusion suivante : « La signification de l'expression « droit de garde » au regard de la Convention ne coïncide pas avec l'un quelconque des concepts de « droit de garde » reçu dans les Etats parties, mais voit ses contours propres tracés par les définitions, la structure et le but de la Convention elle-même. » (Rapport de la deuxième réunion de la Commission spéciale sur le fonctionnement de la Convention de La Haye sur les aspects civils de l'enlèvement international d'enfants tenue du 18 au 21 janvier 1993, p. 4) 68. En outre, selon le rapport explicatif, la convention ne porte que sur les problèmes relatifs à la violation d'un droit de garde. Elle ne concerne a priori pas les situations nées de l'atteinte à un droit de visite, notamment les cas où le titulaire du droit de garde déplace l'enfant à l'étranger (§ 65 du rapport).</w:t>
      </w:r>
    </w:p>
    <w:p>
      <w:r>
        <w:rPr>
          <w:b/>
        </w:rPr>
        <w:t>E. 4</w:t>
      </w:r>
    </w:p>
    <w:p>
      <w:r>
        <w:t>Enfin, je crains que le non-retour de l'enfant en Israël puisse avoir des conséquences néfastes pour son avenir : Israël reste son pays de naissance, c'est là que se trouvent ses racines, et sa situation par rapport à son pays demeure irrégulière.</w:t>
      </w:r>
    </w:p>
    <w:p>
      <w:r>
        <w:rPr>
          <w:b/>
        </w:rPr>
        <w:t>E. 5</w:t>
      </w:r>
    </w:p>
    <w:p>
      <w:r>
        <w:t>Avec toutes les précautions que j'ai énoncées, et d'autres qui peut-être m'échappent, je serais prêt à admettre que le retour du requérant n'emporterait pas violation de l'article 8 de la Convention.</w:t>
      </w:r>
    </w:p>
    <w:p>
      <w:r>
        <w:rPr>
          <w:b/>
        </w:rPr>
        <w:t>E. 6</w:t>
      </w:r>
    </w:p>
    <w:p>
      <w:r>
        <w:t>L'arrêt de la Grande Chambre expose un certain nombre de considérations que la Cour juge pertinentes aujourd'hui pour apprécier le respect de l'article 8. Le raisonnement de la majorité indique que dans l'application de la Convention de La Haye, l'article 8 de la Convention appelle une approche tournée vers le futur, qui serve l'intérêt supérieur de l'enfant. Nous considérons que, dans leur écrasante majorité, ces considérations étaient déjà applicables le 16 août 2007. En particulier, la Cour mentionne l'intégration du second requérant dans son nouvel environnement (paragraphe 145) et la gravité des difficultés que sa mère et lui seraient susceptibles de rencontrer dans le pays de destination (paragraphe 146). Or en 2007, l'enfant, qui avait passé deux années en Suisse, s'était déjà adapté à son nouvel environnement. Cela avait été démontré au cours de la procédure interne. La Cour elle-même le constate lorsqu'elle observe qu'il allait régulièrement à l'école depuis 2006. Cependant, l'arrêt du Tribunal fédéral ne tient pas compte de cet élément. La Cour considère également que les restrictions posées au droit de visite du père avant 2007 sont un facteur pertinent d'appréciation des risques pour le bien-être de l'enfant en cas de retour en Israël (paragraphes 22 et 24). Là encore, le Tribunal fédéral a expressément refusé de tenir compte de ces facteurs en adoptant une interprétation délibérément restrictive de la Convention de La Haye. Enfin, selon la majorité, les sanctions pénales que la mère risquerait de se voir imposer en cas de retour sont également un risque pertinent pour le bien-être de l'enfant. En effet, l'intéressée étant probablement la seule personne de référence pour son fils, la Cour ne juge pas un tel risque acceptable en 2010. Or les faits et les risques qui en découlaient étaient les mêmes en 2007.</w:t>
      </w:r>
    </w:p>
    <w:p>
      <w:r>
        <w:rPr>
          <w:b/>
        </w:rPr>
        <w:t>E. 7</w:t>
      </w:r>
    </w:p>
    <w:p>
      <w:r>
        <w:t>Le Tribunal fédéral a reconnu qu'un retour du second requérant sans sa mère le soumettrait à un risque grave, mais il a estimé que l'on pouvait raisonnablement attendre de l'intéressée qu'elle accompagne son fils en Israël, et que le risque susmentionné n'existait donc pas. Il a considéré que la première requérante n'avait pas avancé de motifs justifiant objectivement son choix de ne pas retourner en Israël. Retenant une interprétation restrictive de l'article 13 de la Convention de La Haye, il a jugé notamment qu'il incombait à la requérante de démontrer de manière satisfaisante le risque allégué de poursuites en cas de retour en Israël, qu'elle n'avait pas établi la réalité de ce risque et que, dès lors, il ne constituait pas un motif objectif de non-retour. Ce raisonnement implique qu'en l'absence de raisons objectives, la mère est tenue de retourner avec son enfant dans le pays de départ. Or, s'il n'est pas contesté que les responsables légaux d'un enfant sont juridiquement tenus de prendre soin de lui personnellement, cette obligation ne leur impose pas de manière inconditionnelle de le faire dans un lieu imposé , ce qui serait absolument contraire à leurs droits garantis par la Convention. Dans son raisonnement, le Tribunal fédéral a exclu la possibilité, et le risque correspondant, que l'enfant ne soit pas accompagné par sa mère, en partant du principe que celle-ci devait suivre l'enfant -ignorant ainsi les droits de l'intéressée garantis par l'article 8, sa liberté de circulation et son autonomie personnelle. A cet égard, nous souscrivons totalement à l'opinion concordante du juge Lorenzen rejoint par la juge Kalaydjieva.</w:t>
      </w:r>
    </w:p>
    <w:p>
      <w:r>
        <w:rPr>
          <w:b/>
        </w:rPr>
        <w:t>E. 8</w:t>
      </w:r>
    </w:p>
    <w:p>
      <w:r>
        <w:t>Il est clair également que si les juges nationaux manquaient à cette obligation, les requérants pourraient revenir devant la Cour européenne des droits de l'homme et demander que la décision de justice interne, quelle qu'elle puisse être, soit mise en conformité avec cet arrêt.</w:t>
      </w:r>
    </w:p>
    <w:p>
      <w:r>
        <w:rPr>
          <w:b/>
        </w:rPr>
        <w:t>E. 9</w:t>
      </w:r>
    </w:p>
    <w:p>
      <w:r>
        <w:t>Cette seconde raison n'est pas seulement d'ordre pragmatique. Elle soulève aussi l'importante question de savoir dans quelle mesure les arrêts de la Cour européenne des droits de l'homme sont effectivement contraignants pour les juridictions nationales.</w:t>
      </w:r>
    </w:p>
    <w:p>
      <w:r>
        <w:rPr>
          <w:b/>
        </w:rPr>
        <w:t>E. 10</w:t>
      </w:r>
    </w:p>
    <w:p>
      <w:r>
        <w:t>Cela étant, c'est bien entendu la première raison qui est cruciale, car la conclusion de la majorité implique que le constat par la Cour de la violation ou de la non-violation peut dépendre du simple fait qu'une décision définitive des juridictions internes a ou n'a pas été exécutée, et ce même lorsque le sursis à l'exécution n'est dû, comme en l'espèce, qu'à une mesure provisoire imposée par la Cour (en vertu de l'article 39 du règlement).</w:t>
      </w:r>
    </w:p>
    <w:p>
      <w:r>
        <w:rPr>
          <w:b/>
        </w:rPr>
        <w:t>E. 11</w:t>
      </w:r>
    </w:p>
    <w:p>
      <w:r>
        <w:t>Mon objection de fond à l'avis de la majorité vient toutefois de ce qu'il est absolument erroné de s'appuyer sur l'affaire Maumousseau et Washington c. France (no 39388/05, CEDH 2007-XIII) pour conclure à la violation.</w:t>
      </w:r>
    </w:p>
    <w:p>
      <w:r>
        <w:rPr>
          <w:b/>
        </w:rPr>
        <w:t>E. 12</w:t>
      </w:r>
    </w:p>
    <w:p>
      <w:r>
        <w:t>Les affaires semblables devraient connaître une issue semblable. A l'évidence, les circonstances factuelles des deux affaires sont analogues, si ce n'est que dans l'affaire Maumousseau et Washington le risque qu'aurait encouru la mère si elle était retournée aux Etats-Unis aurait été bien plus important, puisqu'elle se serait alors exposée à une arrestation à la frontière, à l'obligation de déposer une caution de 25 000 dollars et à l'impossibilité de voir sa fille autrement qu'en présence d'un garde, au tribunal, et pendant environ une demi-heure, pour ne citer que certaines des conditions draconiennes imposées par le juge aux affaires familiales de l'Etat de New York en première instance.</w:t>
      </w:r>
    </w:p>
    <w:p>
      <w:r>
        <w:rPr>
          <w:b/>
        </w:rPr>
        <w:t>E. 13</w:t>
      </w:r>
    </w:p>
    <w:p>
      <w:r>
        <w:t>S'il y avait ici une différence avec l'affaire Maumousseau et Washington , elle résiderait donc dans le fait que la situation en cause dans cette affaire-là était bien pire que celle en question en l'espèce.</w:t>
      </w:r>
    </w:p>
    <w:p>
      <w:r>
        <w:rPr>
          <w:b/>
        </w:rPr>
        <w:t>E. 14</w:t>
      </w:r>
    </w:p>
    <w:p>
      <w:r>
        <w:t>Il apparaît donc que l'affaire Neulinger et Shuruk c. Suisse constitue un total revirement par rapport à l'arrêt rendu par la troisième section dans l'affaire Maumousseau et Washington c. France .</w:t>
      </w:r>
    </w:p>
    <w:p>
      <w:r>
        <w:rPr>
          <w:b/>
        </w:rPr>
        <w:t>E. 15</w:t>
      </w:r>
    </w:p>
    <w:p>
      <w:r>
        <w:t>Il est d'ailleurs très facile de le démontrer. Dans la présente affaire, l'Etat défendeur, la Suisse, s'est appuyé ouvertement sur l'arrêt rendu par la troisième section dans l'affaire Maumousseau et Washington (paragraphe 119 de l'arrêt).</w:t>
      </w:r>
    </w:p>
    <w:p>
      <w:r>
        <w:rPr>
          <w:b/>
        </w:rPr>
        <w:t>E. 16</w:t>
      </w:r>
    </w:p>
    <w:p>
      <w:r>
        <w:t>Dans cette affaire, la majorité de la section avait déclaré (voir cependant mon opinion dissidente) que le but de la Convention de La Haye était d'empêcher le « parent ravisseur » de parvenir à légitimer juridiquement, le passage du temps jouant en sa faveur, une situation de fait unilatéralement créée par lui ( nemo auditur propriam turpitudinem allegans ). Elle avait ainsi choisi d'ignorer l'intérêt supérieur de l'enfant, lui-même déterminé par le passage du temps et par d'autres facteurs concernant le père.</w:t>
      </w:r>
    </w:p>
    <w:p>
      <w:r>
        <w:rPr>
          <w:b/>
        </w:rPr>
        <w:t>E. 17</w:t>
      </w:r>
    </w:p>
    <w:p>
      <w:r>
        <w:t>Il s'ensuit qu'au regard du principe stare decisis , la démarche du gouvernement suisse consistant à s'appuyer sur l'arrêt Maumousseau et Washington était d'une logique imparable.</w:t>
      </w:r>
    </w:p>
    <w:p>
      <w:r>
        <w:rPr>
          <w:b/>
        </w:rPr>
        <w:t>E. 18</w:t>
      </w:r>
    </w:p>
    <w:p>
      <w:r>
        <w:t>Le gouvernement suisse pouvait a fortiori considérer comme certain que les circonstances factuelles de l'affaire Neulinger et Shuruk, comparées à celles de l'affaire Maumousseau et Washington, étaient bien moins désastreuses pour la mère et pour l'enfant . Dans l'affaire contre la France, en effet, la fille avait pour finir été brutalement arrachée à sa mère pour être remise, à New York, à son père, avec lequel elle n'avait notamment jamais vécu seule.</w:t>
      </w:r>
    </w:p>
    <w:p>
      <w:r>
        <w:rPr>
          <w:b/>
        </w:rPr>
        <w:t>E. 19</w:t>
      </w:r>
    </w:p>
    <w:p>
      <w:r>
        <w:t>Ayant déjà expliqué ma position dans l'affaire Maumousseau , je me bornerai à dire que les autorités suisses avaient toutes les raisons de croire, en s'appuyant sur ce précédent , qu'en l'affaire Neulinger et Shuruk la Cour considérerait a fortiori qu'il n'y aurait pas de violation dans le cas où l'enfant serait renvoyé en Israël.</w:t>
      </w:r>
    </w:p>
    <w:p>
      <w:r>
        <w:rPr>
          <w:b/>
        </w:rPr>
        <w:t>E. 20</w:t>
      </w:r>
    </w:p>
    <w:p>
      <w:r>
        <w:t>Dans l'affaire Maumousseau et Washington , le collège de la Grande Chambre avait, de manière inexplicable, rejeté la demande de renvoi devant celle-ci.</w:t>
      </w:r>
    </w:p>
    <w:p>
      <w:r>
        <w:rPr>
          <w:b/>
        </w:rPr>
        <w:t>E. 21</w:t>
      </w:r>
    </w:p>
    <w:p>
      <w:r>
        <w:t>Cependant, la question tranchée alors de manière si discutable s'est à nouveau posée, et la Cour est parvenue à une décision qui, malgré le caractère hypothétique de la violation constatée en l'espèce, est acceptable.</w:t>
      </w:r>
    </w:p>
    <w:p>
      <w:r>
        <w:rPr>
          <w:b/>
        </w:rPr>
        <w:t>E. 22</w:t>
      </w:r>
    </w:p>
    <w:p>
      <w:r>
        <w:t>Il s'ensuit inexorablement que l'affaire Neulinger et Shuruk constitue un revirement complet par rapport à l'affaire Maumousseau et Washington et à sa « logique ».</w:t>
      </w:r>
    </w:p>
    <w:p>
      <w:r>
        <w:rPr>
          <w:b/>
        </w:rPr>
        <w:t>E. 23</w:t>
      </w:r>
    </w:p>
    <w:p>
      <w:r>
        <w:t>Je trouve dès lors quelque peu étrange de citer l'arrêt Maumousseau et Washington comme si non seulement il était compatible avec l'arrêt Neulinger et Shuruk , mais encore il le justifiait.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