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20071210_69698_01 vom 10. Oktober 2000</w:t>
      </w:r>
    </w:p>
    <w:p>
      <w:r>
        <w:t>Bundesgericht (BGE), 2000-10-10, FR</w:t>
      </w:r>
    </w:p>
    <w:p>
      <w:r>
        <w:rPr>
          <w:b/>
        </w:rPr>
        <w:t xml:space="preserve">Quelle: </w:t>
      </w:r>
      <w:r>
        <w:t>https://mcp.opencaselaw.ch/entscheid/bge_20071210_69698_01</w:t>
      </w:r>
    </w:p>
    <w:p>
      <w:r>
        <w:t>FR: BGE 20071210_69698_01 du 10 octobre 2000</w:t>
      </w:r>
    </w:p>
    <w:p>
      <w:r>
        <w:t>IT: BGE 20071210_69698_01 del 10 ottobre 2000</w:t>
      </w:r>
    </w:p>
    <w:p>
      <w:pPr>
        <w:pStyle w:val="Heading2"/>
      </w:pPr>
      <w:r>
        <w:t>Regeste</w:t>
      </w:r>
    </w:p>
    <w:p>
      <w:r>
        <w:t>Regeste Diese Zusammenfassung existiert nur auf Französisch. SUISSE: Art. 10 CEDH. Condamnation d'un journaliste à une amende pour avoir divulgué dans la presse des extraits d'un rapport confidentiel de l'ambassadeur suisse aux Etats-Unis sur l'indemnisation des victimes de l'Holocauste pour les fonds en déshérence. L'art. 10 CEDH s'applique à la diffusion d'informations confidentielles ou secrètes par des journalistes, mais la liberté de la presse est subordonnée à la condition que les intéressés agissent de bonne foi sur la base de faits exacts et fournissent des informations fiables et précises dans le respect de la déontologie journalistique. Prévue par le code pénal, cette ingérence poursuivait le but légitime d'empêcher la divulgation d'informations confidentielles. Il est primordial que les diplomates puissent se transmettre des informations, mais la confidentialité des rapports diplomatiques ne saurait être protégée à n'importe quel prix et la fonction de critique des médias s'applique également à la politique étrangère. La question des fonds en déshérence soulevait des intérêts financiers importants et un aspect moral considérable pour les victimes de l'Holocauste et leurs descendants; la Cour met ainsi en balance les deux intérêts publics en présence, celui des lecteurs à recevoir des informations sur un débat public d'actualité et celui des autorités à assurer une issue favorable à des négociations diplomatiques en cours. En l'espèce, la divulgation du contenu du rapport de l'ambassadeur a pu causer un préjudice considérable aux intérêts des autorités suisses, compte tenu du moment délicat auquel elle est intervenue. Quant au requérant, il ne pouvait ignorer que la publication du rapport était illégale, ni que la forme réductrice et tronquée du contenu de ses articles était de nature à induire les lecteurs en erreur, les mots employés tendant à prêter à l'ambassadeur des intentions antisémites, ce qui a sans doute contribué à sa démission juste après la publication. Dans ces conditions, et compte tenu de la mise en page des articles litigieux avec des titres faisant du sensationnalisme, le requérant a eu comme intention non pas tant d'informer le public sur une question d'intérêt général, mais de faire du rapport de l'ambassadeur un sujet de scandale inutile. Enfin, l'amende de 800 fr. infligée au journaliste était relativement faible et relevait des contraventions alors que des sanctions plus lourdes étaient possibles; les autorités nationales n'ont dès lors pas outrepassé leur marge d'appréciation en infligeant cette mesure qui n'était pas disproportionnée (ch. 101 - 162). Conclusion: non-violation de l'art. 10 CEDH. N.B. Cet arrêt de la Grande Chambre fait suite à la décision d'une chambre, qui était arrivée à une conclusion différente par arrêt du 25.04.2006, publié à l'AJP 2006 p. 1294.</w:t>
      </w:r>
    </w:p>
    <w:p>
      <w:r>
        <w:t>Regeste SUISSE: Art. 10 CEDH. Condamnation d'un journaliste à une amende pour avoir divulgué dans la presse des extraits d'un rapport confidentiel de l'ambassadeur suisse aux Etats-Unis sur l'indemnisation des victimes de l'Holocauste pour les fonds en déshérence. L'art. 10 CEDH s'applique à la diffusion d'informations confidentielles ou secrètes par des journalistes, mais la liberté de la presse est subordonnée à la condition que les intéressés agissent de bonne foi sur la base de faits exacts et fournissent des informations fiables et précises dans le respect de la déontologie journalistique. Prévue par le code pénal, cette ingérence poursuivait le but légitime d'empêcher la divulgation d'informations confidentielles. Il est primordial que les diplomates puissent se transmettre des informations, mais la confidentialité des rapports diplomatiques ne saurait être protégée à n'importe quel prix et la fonction de critique des médias s'applique également à la politique étrangère. La question des fonds en déshérence soulevait des intérêts financiers importants et un aspect moral considérable pour les victimes de l'Holocauste et leurs descendants; la Cour met ainsi en balance les deux intérêts publics en présence, celui des lecteurs à recevoir des informations sur un débat public d'actualité et celui des autorités à assurer une issue favorable à des négociations diplomatiques en cours. En l'espèce, la divulgation du contenu du rapport de l'ambassadeur a pu causer un préjudice considérable aux intérêts des autorités suisses, compte tenu du moment délicat auquel elle est intervenue. Quant au requérant, il ne pouvait ignorer que la publication du rapport était illégale, ni que la forme réductrice et tronquée du contenu de ses articles était de nature à induire les lecteurs en erreur, les mots employés tendant à prêter à l'ambassadeur des intentions antisémites, ce qui a sans doute contribué à sa démission juste après la publication. Dans ces conditions, et compte tenu de la mise en page des articles litigieux avec des titres faisant du sensationnalisme, le requérant a eu comme intention non pas tant d'informer le public sur une question d'intérêt général, mais de faire du rapport de l'ambassadeur un sujet de scandale inutile. Enfin, l'amende de 800 fr. infligée au journaliste était relativement faible et relevait des contraventions alors que des sanctions plus lourdes étaient possibles; les autorités nationales n'ont dès lors pas outrepassé leur marge d'appréciation en infligeant cette mesure qui n'était pas disproportionnée (ch. 101 - 162). Conclusion: non-violation de l'art. 10 CEDH. N.B. Cet arrêt de la Grande Chambre fait suite à la décision d'une chambre, qui était arrivée à une conclusion différente par arrêt du 25.04.2006, publié à l'AJP 2006 p. 1294.</w:t>
      </w:r>
    </w:p>
    <w:p>
      <w:r>
        <w:t>Regesto Questo riassunto esiste solo in francese. SUISSE: Art. 10 CEDH. Condamnation d'un journaliste à une amende pour avoir divulgué dans la presse des extraits d'un rapport confidentiel de l'ambassadeur suisse aux Etats-Unis sur l'indemnisation des victimes de l'Holocauste pour les fonds en déshérence. L'art. 10 CEDH s'applique à la diffusion d'informations confidentielles ou secrètes par des journalistes, mais la liberté de la presse est subordonnée à la condition que les intéressés agissent de bonne foi sur la base de faits exacts et fournissent des informations fiables et précises dans le respect de la déontologie journalistique. Prévue par le code pénal, cette ingérence poursuivait le but légitime d'empêcher la divulgation d'informations confidentielles. Il est primordial que les diplomates puissent se transmettre des informations, mais la confidentialité des rapports diplomatiques ne saurait être protégée à n'importe quel prix et la fonction de critique des médias s'applique également à la politique étrangère. La question des fonds en déshérence soulevait des intérêts financiers importants et un aspect moral considérable pour les victimes de l'Holocauste et leurs descendants; la Cour met ainsi en balance les deux intérêts publics en présence, celui des lecteurs à recevoir des informations sur un débat public d'actualité et celui des autorités à assurer une issue favorable à des négociations diplomatiques en cours. En l'espèce, la divulgation du contenu du rapport de l'ambassadeur a pu causer un préjudice considérable aux intérêts des autorités suisses, compte tenu du moment délicat auquel elle est intervenue. Quant au requérant, il ne pouvait ignorer que la publication du rapport était illégale, ni que la forme réductrice et tronquée du contenu de ses articles était de nature à induire les lecteurs en erreur, les mots employés tendant à prêter à l'ambassadeur des intentions antisémites, ce qui a sans doute contribué à sa démission juste après la publication. Dans ces conditions, et compte tenu de la mise en page des articles litigieux avec des titres faisant du sensationnalisme, le requérant a eu comme intention non pas tant d'informer le public sur une question d'intérêt général, mais de faire du rapport de l'ambassadeur un sujet de scandale inutile. Enfin, l'amende de 800 fr. infligée au journaliste était relativement faible et relevait des contraventions alors que des sanctions plus lourdes étaient possibles; les autorités nationales n'ont dès lors pas outrepassé leur marge d'appréciation en infligeant cette mesure qui n'était pas disproportionnée (ch. 101 - 162). Conclusion: non-violation de l'art. 10 CEDH. N.B. Cet arrêt de la Grande Chambre fait suite à la décision d'une chambre, qui était arrivée à une conclusion différente par arrêt du 25.04.2006, publié à l'AJP 2006 p. 1294.</w:t>
      </w:r>
    </w:p>
    <w:p>
      <w:pPr>
        <w:pStyle w:val="Heading2"/>
      </w:pPr>
      <w:r>
        <w:t>Erwägungen</w:t>
      </w:r>
    </w:p>
    <w:p>
      <w:r>
        <w:rPr>
          <w:b/>
        </w:rPr>
        <w:t>E. 22</w:t>
      </w:r>
    </w:p>
    <w:p>
      <w:r>
        <w:t>Le requérant allègue que la condamnation prononcée à son encontre pour la publication « de débats officiels secrets » équivaut à une atteinte à la liberté d'expression au sens de l'article 10 de la Convention, ainsi libellé : « 1. Toute personne a droit à la liberté d'expression. Ce droit comprend la liberté d'opinion et la liberté de recevoir ou de communiquer des informations ou des idées sans qu'il puisse y avoir ingérence d'autorités publiques et sans considération de frontière. Le présent article n'empêche pas les Etats de soumettre les entreprises de radiodiffusion, de cinéma ou de télévision à un régime d'autorisations. 2. L'exercice de ces libertés comportant des devoirs et des responsabilités peut être soumis à certaines formalités, conditions, restrictions ou sanctions prévues par la loi, qui constituent des mesures nécessaires, dans une société démocratique, à la sécurité nationale, à l'intégrité territoriale ou à la sûreté publique, à la défense de l'ordre et à la prévention du crime, à la protection de la santé ou de la morale, à la protection de la réputation ou des droits d'autrui, pour empêcher la divulgation d'informations confidentielles ou pour garantir l'autorité et l'impartialité du pouvoir judiciaire. » A. Existence d'une ingérence</w:t>
      </w:r>
    </w:p>
    <w:p>
      <w:r>
        <w:rPr>
          <w:b/>
        </w:rPr>
        <w:t>E. 23</w:t>
      </w:r>
    </w:p>
    <w:p>
      <w:r>
        <w:t>Pour la Cour, il apparaît clairement que la condamnation du requérant s'analyse en une « ingérence » dans l'exercice de sa liberté d'expression, ce que nul n'a d'ailleurs contesté. B. Justification de l'ingérence</w:t>
      </w:r>
    </w:p>
    <w:p>
      <w:r>
        <w:rPr>
          <w:b/>
        </w:rPr>
        <w:t>E. 24</w:t>
      </w:r>
    </w:p>
    <w:p>
      <w:r>
        <w:t>Pareille immixtion enfreint l'article 10, sauf si elle remplit les exigences du paragraphe 2 de cette disposition. Reste donc à déterminer si l'ingérence était « prévue par la loi », inspirée par un ou des buts légitimes au regard de ce paragraphe et « nécessaire dans une société démocratique » pour les atteindre. 1. « Prévue par la loi »</w:t>
      </w:r>
    </w:p>
    <w:p>
      <w:r>
        <w:rPr>
          <w:b/>
        </w:rPr>
        <w:t>E. 25</w:t>
      </w:r>
    </w:p>
    <w:p>
      <w:r>
        <w:t>Le requérant ne conteste pas que l'amende prononcée à son encontre était « prévue par la loi » au sens de l'article 10 § 2.</w:t>
      </w:r>
    </w:p>
    <w:p>
      <w:r>
        <w:rPr>
          <w:b/>
        </w:rPr>
        <w:t>E. 26</w:t>
      </w:r>
    </w:p>
    <w:p>
      <w:r>
        <w:t>Selon le Gouvernement défendeur, la condamnation du requérant se fondait sur l'article 293 du code pénal (voir ci-dessus la partie « Le droit interne pertinent »).</w:t>
      </w:r>
    </w:p>
    <w:p>
      <w:r>
        <w:rPr>
          <w:b/>
        </w:rPr>
        <w:t>E. 27</w:t>
      </w:r>
    </w:p>
    <w:p>
      <w:r>
        <w:t>La Cour n'aperçoit aucune raison d'adopter un point de vue différent. 2. Buts légitimes</w:t>
      </w:r>
    </w:p>
    <w:p>
      <w:r>
        <w:rPr>
          <w:b/>
        </w:rPr>
        <w:t>E. 28</w:t>
      </w:r>
    </w:p>
    <w:p>
      <w:r>
        <w:t>Le requérant admet que la prévention de la « divulgation d'informations confidentielles » est un des motifs justifiant une ingérence dans les droits garantis par l'article 10. En revanche, il ne partage pas l'avis de la partie défenderesse selon lequel la publication du document a mis en péril la « sécurité nationale » et « la sûreté publique » ; bien au contraire, il estime que les articles litigieux étaient susceptibles de lancer un débat utile sur la question de savoir s'il était opportun de charger l'ambassadeur Carlo Jagmetti du dossier sensible des fonds en déshérence.</w:t>
      </w:r>
    </w:p>
    <w:p>
      <w:r>
        <w:rPr>
          <w:b/>
        </w:rPr>
        <w:t>E. 29</w:t>
      </w:r>
    </w:p>
    <w:p>
      <w:r>
        <w:t>D'après le Gouvernement, la condamnation du requérant poursuivait plusieurs des buts énoncés au paragraphe 2 de l'article 10.</w:t>
      </w:r>
    </w:p>
    <w:p>
      <w:r>
        <w:rPr>
          <w:b/>
        </w:rPr>
        <w:t>E. 30</w:t>
      </w:r>
    </w:p>
    <w:p>
      <w:r>
        <w:t>D'abord, l'amende infligée au requérant s'inscrivait dans les sanctions tendant à « empêcher la divulgation d'informations confidentielles », dans la mesure où le rapport de M. Jagmetti était classé « confidentiel » et était destiné à un cercle extrêmement restreint de personnes occupant de très hautes fonctions au sein de la Confédération suisse.</w:t>
      </w:r>
    </w:p>
    <w:p>
      <w:r>
        <w:rPr>
          <w:b/>
        </w:rPr>
        <w:t>E. 31</w:t>
      </w:r>
    </w:p>
    <w:p>
      <w:r>
        <w:t>L'obligation de ne pas divulguer le « document stratégique » et la condamnation du requérant pour violation de ce devoir poursuivaient également, aux yeux du Gouvernement, un but de protection de la « sécurité nationale » et de la « sûreté publique », étant donné que les propos tenus par l'auteur du document litigieux s'inscrivaient dans un contexte politique extrêmement sensible. Leur publication mettait en péril la position de la Suisse et risquait, en particulier, de compromettre les négociations qu'elle menait alors sur la délicate question des fonds en déshérence.</w:t>
      </w:r>
    </w:p>
    <w:p>
      <w:r>
        <w:rPr>
          <w:b/>
        </w:rPr>
        <w:t>E. 32</w:t>
      </w:r>
    </w:p>
    <w:p>
      <w:r>
        <w:t>La Cour se contente de constater que les parties s'accordent à considérer que la mesure litigieuse tendait à empêcher la « divulgation d'informations confidentielles » ; dès lors, elle ne juge pas nécessaire d'examiner si l'amende infligée au requérant visait d'autres buts énoncés à l'article 10 § 2. 3. « Nécessaire dans une société démocratique » a) Les thèses présentées par les parties i. Le requérant</w:t>
      </w:r>
    </w:p>
    <w:p>
      <w:r>
        <w:rPr>
          <w:b/>
        </w:rPr>
        <w:t>E. 33</w:t>
      </w:r>
    </w:p>
    <w:p>
      <w:r>
        <w:t>Le requérant ne conteste pas que le document litigieux était classé « confidentiel » et qu'il n'avait pas fait l'objet d'une publication antérieure. En revanche, se référant à l'affaire Fressoz et Roire c. France ([GC], no 29183/95, CEDH 1999-I), il soutient que seuls les secrets d'Etat considérés comme revêtant une importance particulière peuvent primer sur la liberté d'expression au sens de l'article 10 de la Convention, ce qui n'est sans doute pas le cas en l'espèce. A ce propos, il doute que le contenu du document litigieux fût susceptible de révéler un secret d'Etat dont la divulgation aurait pu compromettre la « sécurité nationale » ou la « sûreté publique » de la Suisse. Les thèses rendues publiques dans les deux articles étaient trop générales pour affaiblir la position de la délégation suisse dans les pourparlers avec les organisations juives.</w:t>
      </w:r>
    </w:p>
    <w:p>
      <w:r>
        <w:rPr>
          <w:b/>
        </w:rPr>
        <w:t>E. 34</w:t>
      </w:r>
    </w:p>
    <w:p>
      <w:r>
        <w:t>D'ailleurs, le requérant est d'avis que, vu l'importance et l'actualité des négociations sur la question des fonds en déshérence, il existait un intérêt général à recevoir plus d'informations sur la manière dont les responsables du Département des affaires étrangères pensaient mener les pourparlers en vue de trouver un accord sur le sujet des plaintes contre les institutions bancaires et financières suisses. A ce titre, il considère particulièrement révélatrices l'opinion et la position de M. Jagmetti qui, selon lui, jouait un rôle clé dans l'affaire des fonds en déshérence.</w:t>
      </w:r>
    </w:p>
    <w:p>
      <w:r>
        <w:rPr>
          <w:b/>
        </w:rPr>
        <w:t>E. 35</w:t>
      </w:r>
    </w:p>
    <w:p>
      <w:r>
        <w:t>Ainsi, le requérant soutient que la divulgation du rapport a provoqué un débat utile sur la question de savoir si M. Jagmetti était la personne appropriée pour mener les négociations avec les représentants des organisations juives, et observe de surcroît que la divulgation était à l'origine de la démission de ce dernier le lendemain de la publication du rapport. D'après le requérant, cette publication a visiblement contribué à l'adoption d'une approche plus sensible de l'administration suisse vis-à-vis du dossier délicat des fonds en déshérence. En même temps, elle a démontré qu'il n'existait, à ce moment-là, aucune position claire et cohérente en ce qui concernait, d'une part, la responsabilité effective de la Suisse dans cette affaire et, d'autre part, la question de la stratégie exacte à adopter à l'encontre des prétentions auxquelles les intéressés devaient faire face.</w:t>
      </w:r>
    </w:p>
    <w:p>
      <w:r>
        <w:rPr>
          <w:b/>
        </w:rPr>
        <w:t>E. 36</w:t>
      </w:r>
    </w:p>
    <w:p>
      <w:r>
        <w:t>Quant à l'argument tiré du blâme prononcé par le Conseil de la presse, le requérant estime que celui-ci a certes retenu quelques exagérations, mais qu'il n'a pas considéré la publication comme étant abusive ou diffamatoire en tant que telle. Il soutient que, si les articles publiés apparaissent parfois choquants, la publication litigieuse avait justement pour but de mettre en relief le vocabulaire employé par M. Jagmetti dans son rapport - un vocabulaire qui, selon le requérant, n'est pas digne d'un haut représentant de la Confédération et à peine compatible avec la politique étrangère officielle de la Suisse.</w:t>
      </w:r>
    </w:p>
    <w:p>
      <w:r>
        <w:rPr>
          <w:b/>
        </w:rPr>
        <w:t>E. 37</w:t>
      </w:r>
    </w:p>
    <w:p>
      <w:r>
        <w:t>Enfin, le requérant note que l'infraction, sur la base de laquelle l'amende a été prononcée n'a, certes, que la nature d'une « contravention », mais qu'elle est néanmoins passible d'une peine d'amende ou même d'emprisonnement. Une condamnation à la lumière de cette disposition doit de toute manière être conforme aux exigences de l'article 10 de la Convention. ii. Le gouvernement défendeur</w:t>
      </w:r>
    </w:p>
    <w:p>
      <w:r>
        <w:rPr>
          <w:b/>
        </w:rPr>
        <w:t>E. 38</w:t>
      </w:r>
    </w:p>
    <w:p>
      <w:r>
        <w:t>Le gouvernement défendeur conteste les arguments du requérant. Il estime fondamental d'examiner la nature et l'importance stratégique du rapport litigieux. Le document en cause contenait une analyse détaillée de la situation, telle que la percevait M. Jagmetti, dans laquelle la Suisse se trouvait eu égard aux prétentions de plusieurs organisations juives relatives aux « fonds en déshérence ». Il avait, dès lors, pour but de contribuer à la formation d'une opinion consolidée quant à l'attitude et à la réaction que le gouvernement suisse devait adopter par rapport à ces prétentions. Il existait donc un intérêt primordial à éviter la divulgation du document.</w:t>
      </w:r>
    </w:p>
    <w:p>
      <w:r>
        <w:rPr>
          <w:b/>
        </w:rPr>
        <w:t>E. 39</w:t>
      </w:r>
    </w:p>
    <w:p>
      <w:r>
        <w:t>A ce propos, le Gouvernement estime opportun de souligner que le rapport litigieux était un document interne, entièrement inconnu du public et classé « confidentiel ». Le requérant n'est entré en possession de ce document qu'à la suite d'une violation du secret de fonction dont l'auteur n'a pas pu être identifié. Seul un cercle très restreint de personnes, occupant de très hautes fonctions au sein de la Confédération suisse, en avait connaissance. Il s'ensuit que, selon l'appréciation du Gouvernement, l'espèce se distingue clairement à cet égard d'affaires soulevant des questions similaires (voir, par exemple, les affaires Observer et Guardian c. Royaume-Uni , arrêt du 26 novembre 1991, série A no 216, p. 34, § 69 et Weber c. Suisse , arrêt du 22 mai 1990, série A no 177, pp. 22 et suiv., § 49).</w:t>
      </w:r>
    </w:p>
    <w:p>
      <w:r>
        <w:rPr>
          <w:b/>
        </w:rPr>
        <w:t>E. 40</w:t>
      </w:r>
    </w:p>
    <w:p>
      <w:r>
        <w:t>Dans ce contexte, le Gouvernement tient aussi à souligner que la publication des extraits du rapport est intervenue à un moment particulièrement délicat. Une telle publication révélant, de façon partielle et partiale, des options de défense d'intérêts nationaux proposées à titre confidentiel au Conseil fédéral et à la task force était de nature à nuire gravement aux intérêts du pays. En même temps, elle était susceptible de porter atteinte à la crédibilité du représentant de la Suisse aux Etats-Unis auprès de ses interlocuteurs - affirmation qui fut confirmée par la démission de M. Jagmetti le lendemain de la publication.</w:t>
      </w:r>
    </w:p>
    <w:p>
      <w:r>
        <w:rPr>
          <w:b/>
        </w:rPr>
        <w:t>E. 41</w:t>
      </w:r>
    </w:p>
    <w:p>
      <w:r>
        <w:t>Le Gouvernement tient également à relever que, dans la mise en balance des intérêts en jeu en l'espèce, celui du public à l'information est amoindri par l'objectif visé. Or le Gouvernement, se basant sur le ton utilisé dans la publication, les commentaires faits dans les deux articles publiés ainsi que sur le blâme prononcé par le Conseil de la presse, estime que le requérant n'a cherché qu'à faire du « sensationnalisme ». Dans cette situation, lorsque la discussion d'une question d'intérêt général ne semble être visée qu'au second plan par l'auteur, une sanction prononcée à l'encontre de celui-ci devrait être plus facilement admise comme « nécessaire ».</w:t>
      </w:r>
    </w:p>
    <w:p>
      <w:r>
        <w:rPr>
          <w:b/>
        </w:rPr>
        <w:t>E. 42</w:t>
      </w:r>
    </w:p>
    <w:p>
      <w:r>
        <w:t>Selon le Gouvernement, il convient enfin de relever que le droit interne qualifie l'infraction en question de simple « contravention » (« Übertretung ») et que le requérant n'a été condamné qu'à une amende de 800 CHF (environ 520 EUR). La sanction infligée au requérant n'était donc pas disproportionnée aux buts légitimes poursuivis. b) Appréciation de la Cour i. Principes généraux</w:t>
      </w:r>
    </w:p>
    <w:p>
      <w:r>
        <w:rPr>
          <w:b/>
        </w:rPr>
        <w:t>E. 43</w:t>
      </w:r>
    </w:p>
    <w:p>
      <w:r>
        <w:t>La question majeure à trancher est celle de savoir si l'ingérence était « nécessaire dans une société démocratique ». Les principes fondamentaux concernant cette question sont bien établis dans la jurisprudence de la Cour et ont été résumés comme suit (voir, par exemple, Hertel c. Suisse , arrêt du 25 août 1998, Recueil des arrêts et décisions 1998-VI, § 46, Jersild c. Danemark , arrêt du 23 septembre 1994, série A no 298, pp. 23 et suiv., § 31 ou Steel et Morris c. Royaume-Uni , no 68416/01 , § 87, CEDH 2005-II) : « i. La liberté d'expression constitue l'un des fondements essentiels d'une société démocratique, l'une des conditions primordiales de son progrès et de l'épanouissement de chacun. Sous réserve du paragraphe 2 de l'article 10, elle vaut non seulement pour les « informations » ou « idées » accueillies avec faveur ou considérées comme inoffensives ou indifférentes, mais aussi pour celles qui heurtent, choquent ou inquiètent : ainsi le veulent le pluralisme, la tolérance et l'esprit d'ouverture sans lesquels il n'est pas de « société démocratique ». Telle que la consacre l'article 10, elle est assortie d'exceptions qui (...) appellent toutefois une interprétation étroite, et le besoin de la restreindre doit se trouver établi de manière convaincante (...). ii. L'adjectif « nécessaire », au sens de l'article 10 § 2, implique un « besoin social impérieux ». Les Etats contractants jouissent d'une certaine marge d'appréciation pour juger de l'existence d'un tel besoin, mais elle se double d'un contrôle européen portant à la fois sur la loi et sur les décisions qui l'appliquent, même quand elles émanent d'une juridiction indépendante. La Cour a donc compétence pour statuer en dernier lieu sur le point de savoir si une « restriction » se concilie avec la liberté d'expression que protège l'article 10. iii. La Cour n'a point pour tâche, lorsqu'elle exerce son contrôle, de se substituer aux juridictions internes compétentes, mais de vérifier sous l'angle de l'article 10 les décisions qu'elles ont rendues en vertu de leur pouvoir d'appréciation. Il ne s'ensuit pas qu'elle doive se borner à rechercher si l'Etat défendeur a usé de ce pouvoir de bonne foi, avec soin et de façon raisonnable : il lui faut considérer l'ingérence litigieuse à la lumière de l'ensemble de l'affaire pour déterminer si elle était « proportionnée au but légitime poursuivi » et si les motifs invoqués par les autorités nationales pour la justifier apparaissent « pertinents et suffisants » (...) Ce faisant, la Cour doit se convaincre que les autorités nationales ont appliqué des règles conformes aux principes consacrés à l'article 10 et ce, de surcroît, en se fondant sur une appréciation acceptable des faits pertinents (...) » ii. Application en l'espèce des principes susmentionnés</w:t>
      </w:r>
    </w:p>
    <w:p>
      <w:r>
        <w:rPr>
          <w:b/>
        </w:rPr>
        <w:t>E. 44</w:t>
      </w:r>
    </w:p>
    <w:p>
      <w:r>
        <w:t>Les juridictions suisses ont condamné le requérant à une amende de 800 CHF (environ 520 EUR) pour avoir publié « des débats officiels secrets » au sens de l'article 293 du code pénal suisse. D'après les juridictions suisses, le requérant a réalisé l'infraction par le fait d'avoir divulgué dans un hebdomadaire suisse un rapport confidentiel émanant de l'ambassadeur suisse aux Etats-Unis. Cette publication avait trait à la stratégie à adopter par le gouvernement suisse dans les négociations menées, notamment, entre le Congrès juif mondial et les banques suisses concernant l'indemnisation due aux victimes de l'Holocauste pour les avoirs en déshérence sur des comptes bancaires suisses.</w:t>
      </w:r>
    </w:p>
    <w:p>
      <w:r>
        <w:rPr>
          <w:b/>
        </w:rPr>
        <w:t>E. 45</w:t>
      </w:r>
    </w:p>
    <w:p>
      <w:r>
        <w:t>La liberté de la presse étant ainsi en cause, les autorités suisses ne disposaient que d'une marge d'appréciation restreinte pour juger de l'existence d'un « besoin social impérieux » appelant la prise de la mesure en question contre le requérant ( Editions Plon c. France , no 58148/00 , § 44, 3e alinéa, CEDH 2004-IV). La Cour doit donc vérifier si ce besoin social impérieux existait.</w:t>
      </w:r>
    </w:p>
    <w:p>
      <w:r>
        <w:rPr>
          <w:b/>
        </w:rPr>
        <w:t>E. 46</w:t>
      </w:r>
    </w:p>
    <w:p>
      <w:r>
        <w:t>La Cour rappelle également que l'article 10 § 2 de la Convention ne laisse guère de place pour des restrictions à la liberté d'expression dans le domaine du discours politique ou de questions d'intérêt général ( Wingrove c. Royaume-Uni , arrêt du 25 novembre 1996, Recueil des arrêts et décisions 1996-V, p. 1957, § 58, Lingens c. Autriche du 8 juillet 1986, série A no 103, p. 26, § 42, Castells c. Espagne du 23 avril 1992, série A no 236, p. 23, § 43 et Thorgeir Thorgeirson c. Islande du 25 juin 1992, série A no 239, p. 7, § 63). Elle doit faire preuve de la plus grande prudence lorsque, comme en l'espèce, les mesures prises ou les sanctions infligées par l'autorité nationale sont de nature à dissuader la presse de participer à la discussion de problèmes d'un intérêt général légitime (Bladet Tromsø et Stensaas c. Norvège [GC], no 21980/93 , § 64, CEDH 1999-III, Jersild c. Danemark , arrêt précité, pp. 25-26, § 35).</w:t>
      </w:r>
    </w:p>
    <w:p>
      <w:r>
        <w:rPr>
          <w:b/>
        </w:rPr>
        <w:t>E. 47</w:t>
      </w:r>
    </w:p>
    <w:p>
      <w:r>
        <w:t>Il ressort également de la jurisprudence de la Cour que les limites de la critique admissible sont, comme pour les hommes politiques, plus larges pour les fonctionnaires agissant dans l'exercice de leurs fonctions officielles que pour un simple particulier. Cependant, on ne saurait dire que des fonctionnaires s'exposent sciemment à un contrôle attentif de leurs faits et gestes exactement comme c'est le cas des hommes politiques et que ceux-ci devraient dès lors être traités sur un pied d'égalité avec ces derniers lorsqu'il s'agit de critiques de leur comportement ( Oberschlick c. Autriche (no 2) , arrêt du 1er juillet 1997, Recueil 1997-IV, p. 1275, § 29, 3e alinéa, Janowski c. Pologne [GC], no 25716/94 , § 33, CEDH 1999-I). En l'occurrence, la critique exprimée par les publications incriminées visait directement un haut fonctionnaire, à savoir un agent diplomatique ayant le rang d'ambassadeur, chargé d'une mission particulièrement importante auprès des Etats-Unis. La marge d'appréciation des tribunaux suisses était dès lors plus étroite que pour un simple justiciable « privé ».</w:t>
      </w:r>
    </w:p>
    <w:p>
      <w:r>
        <w:rPr>
          <w:b/>
        </w:rPr>
        <w:t>E. 48</w:t>
      </w:r>
    </w:p>
    <w:p>
      <w:r>
        <w:t>La Cour considère que la confidentialité des rapports diplomatiques est a priori justifiée, mais qu'elle ne saurait être protégée à n'importe quel prix. De surcroît, la fonction de critique et de contrôle des médias s'applique également au domaine de la politique étrangère.</w:t>
      </w:r>
    </w:p>
    <w:p>
      <w:r>
        <w:rPr>
          <w:b/>
        </w:rPr>
        <w:t>E. 49</w:t>
      </w:r>
    </w:p>
    <w:p>
      <w:r>
        <w:t>Selon la Cour, le mode de compte rendu litigieux ne doit pas s'envisager seulement par rapport aux articles contestés parus dans le Sonntags-Zeitung , mais dans le contexte plus large de la couverture médiatique accordée à la question en jeu (Bladet Tromsø et Stensaas , arrêt précité, § 63, 2e alinéa). A ce sujet, la Cour partage l'avis du requérant selon lequel les informations contenues dans le document émanant de l'ambassadeur suisse aux Etats-Unis étaient susceptibles de soulever des questions d'intérêt général. Les publications intervenaient dans le cadre d'un débat public sur une question largement évoquée par les médias suisses et ayant profondément divisé l'opinion publique suisse, à savoir celle de l'indemnisation due aux victimes de l'Holocauste pour les avoirs en déshérence sur des comptes bancaires suisses, d'autant plus que les débats sur les avoirs des victimes de l'Holocauste et sur le rôle de la Suisse dans la Seconde Guerre mondiale étaient, fin 1996 et début 1997, très animés et revêtaient une dimension internationale (voir, mutatis mutandis , Bladet Tromsø et Stensaas , arrêt précité, §§ 63 et 73). L'ambassadeur suisse à Washington occupait, dans le cadre des discussions à suivre, une position importante. Du fait de la publication du document en cause, il est notamment devenu évident que les personnes chargées du dossier n'avaient pas encore d'idée très claire sur la question de la responsabilité de la Suisse et sur le point de savoir quelles démarches le Gouvernement devait entamer. Dans ce contexte, la Cour reconnaît également comme légitime l'intérêt du public à recevoir des informations sur les agents chargés de ce dossier délicat et sur leur style et stratégie de négociation.</w:t>
      </w:r>
    </w:p>
    <w:p>
      <w:r>
        <w:rPr>
          <w:b/>
        </w:rPr>
        <w:t>E. 50</w:t>
      </w:r>
    </w:p>
    <w:p>
      <w:r>
        <w:t>S'agissant de peser les intérêts en jeu, il convient aussi de prendre en compte la nature et le contenu du document litigieux. La présente affaire se distingue d'emblée par le fait que la teneur du document dont des extraits avaient été publiés était entièrement inconnue du public, alors que les affaires soulevant des questions similaires portaient sur des informations dont le contenu avait dans une large mesure déjà été rendu public (voir, notamment, Fressoz et Roire , précité , § 53, O bserver et Guardian c. Royaume-Uni , précité, p. 34, § 69, Weber , précité, § 49, Vereniging Weekblad Bluf ! c. Pays-Bas , arrêt du 9 février 1995, série A no 306-A, p. 16, § 44 et s, Open Door et Dublin Well Woman c. Irlande , arrêt du 29 octobre 1992, série A no 246-A, p. 31, § 76, Editions Plon , précité, § 53). En l'occurrence, force est de constater que le rapport en question était un document interne, inconnu du public et classé « confidentiel ». Seul un cercle très restreint de personnes, occupant des postes dirigeants au sein de la Confédération, en avait connaissance. En même temps, il faut retenir qu'il n'apparaît pas que le requérant ait été à l'origine de l'indiscrétion commise. En tout état de cause, aucune procédure n'avait été ouverte à ce titre par les autorités suisses. De surcroît, le document en question ne portait que la simple mention « confidentiel » ce qui représente, selon la jurisprudence de la Cour, un degré peu important de secret( Vereniging Weekblad Bluf !, précité, p. 15, § 41). 51. En même temps, il convient de se demander si les informations contenues dans le compte rendu de M. Jagmetti relèvent effectivement des intérêts essentiels à protéger. Le gouvernement défendeur prétend que les extraits du rapport publiés étaient susceptibles de révéler des options de défense d'intérêts nationaux, et de nature à nuire gravement aux intérêts du pays. Selon le Conseil de la presse, M. Jagmetti a procédé, dans le document litigieux, à une analyse globale de la situation, développant deux options extrêmes, celle de la transaction et celle de l'approche juridique. Il ressort du document que le souci fondamental était de rechercher la vérité, de trouver une solution financière adéquate et, en même temps, de protéger les intérêts de la Suisse et ses bonnes relations avec les Etats-Unis. 52. La Cour ne méconnaît nullement l'importance de préserver le travail des organes diplomatiques d'immixtions externes. Mais elle estime que la présente affaire se distingue, quant à la question de la nature des informations à révéler, des affaires soulevant des questions similaires, dans la mesure où, contrairement à ce qu'affirme le Gouvernement, elle n'a pas trait au bon fonctionnement des services étatiques chargées de veiller sur la « sécurité nationale » et la « sûreté publique » au sens propre de ces termes (voir, a contrario , Vereniging Weekblad Bluf !, arrêt précité, § 40, O bserver et Guardian , arrêt précité, §§ 61 et suiv. ; voir également Hadjianastassiou c. Grèce , arrêt du 16 décembre 1992, série A no 252, pp. 17-19, §§ 38-47). Eu égard au fait que les exceptions à la liberté d'expression appellent une interprétation étroite, la Cour n'est pas convaincue que la divulgation des éléments de la stratégie à adopter par le gouvernement suisse dans les pourparlers portant sur la question des avoirs des victimes de l'Holocauste et sur le rôle de la Suisse dans la Seconde Guerre mondiale était susceptible de porter atteinte à des intérêts tellement précieux qu'ils seraient de nature à primer sur la liberté d'expression dans une société démocratique. Le tribunal de district de Zurich avait d'ailleurs conclu, le 22 janvier 1999, à l'existence de circonstances atténuantes, admettant explicitement que la divulgation du document confidentiel n'avait pas porté atteinte aux fondements mêmes de la Suisse. 53. La Cour rappelle également que quiconque, y compris un journaliste exerçant sa liberté d'expression, assume des « devoirs et responsabilités » dont l'étendue dépend de sa situation et du procédé technique utilisé (voir, mutatis mutandis, arrêt Handyside c. Royaume-Uni , arrêt du 7 décembre 1976, série A no 24, p. 23, § 49, 3e alinéa). Ainsi, tout en reconnaissant le rôle essentiel qui revient à la presse dans une société démocratique, la Cour estime qu'il faut rappeler que les journalistes ne sauraient en principe être déliés par la protection que leur offre l'article 10 de leur devoir de respecter les lois pénales de droit commun. Le paragraphe 2 de l'article 10 pose d'ailleurs les limites de l'exercice de la liberté d'expression. Cela vaut même quand il s'agit de rendre compte dans la presse de questions sérieuses d'intérêt légitime (Bladet Tromsø et Stensaas , arrêt précité , § 65). 54. Ainsi, la Cour rappelle qu'en raison des « devoirs et responsabilités » inhérents à l'exercice de la liberté d'expression, la garantie que l'article 10 offre aux journalistes, en ce qui concerne les comptes rendus sur des questions d'intérêt général, est subordonnée à la condition que les intéressés agissent de bonne foi, de manière à fournir des informations exactes et dignes de foi dans le respect de la déontologie journalistique ( Goodwin c. Royaume-Uni , arrêt du 27 mars 1996, Recueil 1996-II, § 39 et Fressoz et Roire , précité, § 54). 55. En ce qui concerne la forme des publications, il est vrai que le Conseil de la presse a estimé que, en raison de la forme réductrice de celles-ci et du fait que le rapport n'a pas suffisamment été placé dans son contexte, son auteur, de manière irresponsable, a donné aux propos de l'ambassadeur concerné une tournure dramatique et scandaleuse. La Cour est consciente qu'il aurait été possible d'accompagner les articles parus dans le « Sonntags-Zeitung » de la publication intégrale du rapport litigieux, comme cela a été dans une large mesure fait, le 27 janvier 1997, par le « Tages-Anzeiger » et le « Nouveau Quotidien » et, par conséquent, de permettre aux lecteurs de se former leur propre opinion. La Cour a à d'autres occasions attaché une grande importance à cet élément ( Lopes Gomes da Silva c. Portugal , no 37698/97 , § 35, 2e alinéa, CEDH 2000-X). En même temps, elle rappelle que la liberté de la presse fournit à l'opinion publique un des moyens de connaître et de juger les idées et attitudes des dirigeants et, à cet égard, elle comprend aussi le recours possible à une dose d'exagération, voire même de provocation ( Lopes Gomes da Silva , arrêt précité, § 34, Prager et Oberschlick c. Autriche , arrêt du 26 avril 1995, série A no 313, p. 19, § 38). 56. De surcroît, la Cour constate que la condamnation du requérant découlait uniquement de la publication de débats officiels secrets, et ne se fondait nullement sur une infraction contre l'honneur, telle que notamment la diffamation (article 173 du code pénal) ou l'injure (article 177). Elle ne partage pas l'avis du Gouvernement selon lequel la manière de présenter la publication est un élément déterminant à prendre en considération dans l'appréciation des articles de presse sanctionnés pour révélation d'informations considérées comme secrètes. 57. Enfin, la Cour rappelle que la nature et la lourdeur des sanctions infligées sont aussi des éléments à prendre en considération lorsqu'il s'agit de mesurer la proportionnalité de l'ingérence (voir, par exemple, Sürek c. Turquie ( no 1) [GC], no 26682/95 , § 64, CEDH 1999-IV, Chauvy et autres c. France , no 64915/01 , § 78, CEDH 2004-VI). A cet égard, elle note que la sanction prononcée contre le requérant est certes d'une sévérité relativement faible (une amende de 800 CHF, soit environ 520 EUR). En revanche, la Cour rappelle aussi que ce qui importe n'est pas le caractère mineur de la peine infligée au requérant, mais le fait même de la condamnation ( Jersild , arrêt précité, pp. 25-26, § 35 ; Lopes Gomes da Silva , arrêt précité, § 36). 58. En outre, si la sanction qui a frappé le requérant ne l'a à proprement parler pas empêché de s'exprimer, sa condamnation n'en a pas moins constitué une espèce de censure tendant à l'inciter à ne pas se livrer désormais à des critiques formulées de la sorte. Dans le contexte du débat politique, pareille condamnation risque de dissuader les journalistes de contribuer à la discussion publique de questions qui intéressent la vie de la collectivité. Par là même, elle est de nature à entraver la presse dans l'accomplissement de sa tâche d'information et de contrôle (voir, mutatis mutandis , Barthold c. Allemagne , arrêt du 25 mars 1985, série A no 90, p. 26, § 58, Lingens c. Autriche , précité, p. 27, § 44). 59. Eu égard à ce qui précède, la condamnation du journaliste ne représentait pas un moyen raisonnablement proportionné à la poursuite du but légitime visé, compte tenu de l'intérêt de la société démocratique à assurer et à maintenir la liberté de la presse. Partant, il y a eu violation de l'article 10 de la Convention. II. SUR L'APPLICATION DE L'ARTICLE 41 DE LA CONVENTION 60.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61. Le requérant ne prétend pas que sa condamnation lui ait causé un préjudice matériel. Il estime que le constat de violation suffit à réparer le préjudice moral subi. 62. Dans ces conditions, aucun montant n'est dû à ce titre. B. Frais et dépens 63. Le requérant précise que les honoraires afférents à sa défense devant les juridictions internes et devant la Cour ont été intégralement acquittés par son employeur. 64. La Cour constate, dès lors, qu'aucun montant n'est dû à cet égard.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