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770</w:t>
      </w:r>
    </w:p>
    <w:p>
      <w:r>
        <w:t>Bundesgericht (BGE), 1893-01-01, DE</w:t>
      </w:r>
    </w:p>
    <w:p>
      <w:r>
        <w:rPr>
          <w:b/>
        </w:rPr>
        <w:t xml:space="preserve">Quelle: </w:t>
      </w:r>
      <w:r>
        <w:t>https://mcp.opencaselaw.ch/entscheid/bge_19_I_770</w:t>
      </w:r>
    </w:p>
    <w:p>
      <w:r>
        <w:t>FR: ATF 19 I 770</w:t>
      </w:r>
    </w:p>
    <w:p>
      <w:r>
        <w:t>IT: DTF 19 I 770</w:t>
      </w:r>
    </w:p>
    <w:p>
      <w:pPr>
        <w:pStyle w:val="Heading2"/>
      </w:pPr>
      <w:r>
        <w:t>Volltext</w:t>
      </w:r>
    </w:p>
    <w:p>
      <w:r>
        <w:t>124. Urteil vom 29. Dezember 1893 in Sachen Masse Schelling gegen Schelling. A. Mit Urteil vom 30. November 1893 hat das Obergericht des Kantons Thurgau erkannt: 1. Sei die erste Rechtsfrage verneinend entschieden. 2. Es habe die Appellantin den Beweis durch Urkunden, Zeugen, Ergänzungs= und eventuell Schiedshandgelübde dafür zu leisten, daß die von ihr im Konkurse des Ernst Schelling in Kreuzlingen vindizierten Objekte mit den in Ziffer 3 und 4 und litt. H des Überlassungsvertrages vom 3. März 1891 als Eigen¬ tum vorbehaltenen Gegenstände identisch seien, und sei der Appel¬ latin der Gegenbeweis durch dieselben Beweismittel geöffnet. 3. Sei die Frist zur Anmeldung der Zeugen beim erstinstanz¬ lichen Gerichtspräsidenten auf zehn Tage von der schriftlichen Mitteilung des Urteils an festgesetzt. B. Gegen dieses Urteil ergriff Dr. Hug, Advokat in Kreuz¬ lingen, Namens der Konkursmasse E. Schelling, die Weiter¬ ziehung an das Bundesgericht mit dem Antrage, es solle der Eigentumsvorbehalt der Appellatin Wittwe Schelling in Kreuz¬ lingen gemäß Vertrag vom 3. März 1891 verworfen und die betreffenden Gegenstände als Massegut erklärt werden. Das Bundesgericht zieht in Erwägung: 1. Die Klägerin, Wittwe Katharina Schelling, hat in ihrer Klage gegen die Konkursmasse E. Schelling folgende Rechts¬ fragen aufgestellt: a. Ist das von der Klägerin beanspruchte Pfandrecht an einem Pfandbriefe per 10,000 Fr. auf J. U. Pfändler in Degersheim lautend, rechtlich begründet? b. Ist die von der Klägerin im Konkurse des Ernst Schelling in Kreuzlingen geltend gemachte Eigentumsanspruche auf die vor¬ handene Fassung nebst Holzvorrat und das vorhandene landwirt¬ schaftliche Inventar inelusive Viehhabe gemäß litt. H und Ziffer 3 und 4 des Überlassungsvertrages datiert den 3. März 1891, rechtlich begründet? Das erste, auf ein Pfandrecht abzielende Begehren wurde vom Obergerichte abgewiesen und ein Rekurs gegen diesen Teil des Urteils liegt nicht vor. Mit Bezug auf den zweiten Teil, worin eine Eigentumsansprache erhoben wird, hat das Obergericht kein Haupturteil erlassen, sondern dahin erkannt, es habe die Klägerin den Beweis dafür zu leisten, daß die von ihr vindizierten Objekte mit den in Ziffer 3 und 4 und litt. H des Überlassungsvertrages vom 3. März 1891 als Eigentum vorbehaltenen Gegenständen identisch seien. 2. Da nach Art. 58 des Bundesgesetzes über die Organisa¬ tion der Bundesrechtspflege vom 22. März 1893 die Berufung an's Bundesgericht nur gegen die in der letzten kantonalen In¬ stanz erlassenen Haupturteile zuläßig ist, so kann auf die vor¬ liegende, lediglich gegen ein Beweisurteil gerichtete Weiterziehung nicht eingetreten werden. Demnach hat das Bundesgericht erkannt: Auf die Weiterziehung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