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19980825_25181_94 vom 1. Januar 2021</w:t>
      </w:r>
    </w:p>
    <w:p>
      <w:r>
        <w:t>Bundesgericht (BGE), 2021-01-01, FR</w:t>
      </w:r>
    </w:p>
    <w:p>
      <w:r>
        <w:rPr>
          <w:b/>
        </w:rPr>
        <w:t xml:space="preserve">Quelle: </w:t>
      </w:r>
      <w:r>
        <w:t>https://mcp.opencaselaw.ch/entscheid/bge_19980825_25181_94</w:t>
      </w:r>
    </w:p>
    <w:p>
      <w:r>
        <w:t>FR: BGE 19980825_25181_94 du 1 janvier 2021</w:t>
      </w:r>
    </w:p>
    <w:p>
      <w:r>
        <w:t>IT: BGE 19980825_25181_94 del 1 gennaio 2021</w:t>
      </w:r>
    </w:p>
    <w:p>
      <w:pPr>
        <w:pStyle w:val="Heading2"/>
      </w:pPr>
      <w:r>
        <w:t>Regeste</w:t>
      </w:r>
    </w:p>
    <w:p>
      <w:r>
        <w:t>Regeste Diese Zusammenfassung existiert nur auf Französisch. SUISSE: Art. 10 CEDH. Interdiction faite au requérant d'affirmer la nocivité pour la santé humaine des aliments préparés dans les fours à micro-ondes suite à la publication d'un article. Il était prévisible que la publication de l'article en cause était susceptible de constituer un acte de concurrence déloyale; prévue par la loi, cette ingérence poursuivait le but légitime de protection des droits d'autrui (ch. 35 - 38 et 42). Les autorités disposaient d'une certaine marge d'appréciation pour juger de l'existence d'un "besoin social impérieux" de prendre la mesure litigieuse; si celle-ci apparaît indispensable en matière commerciale, spécialement dans un domaine aussi complexe et fluctuant que la concurrence déloyale, il convient toutefois de la relativiser lorsque l'individu n'a pas tenu un discours strictement commercial mais a participé à un débat touchant à l'intérêt général, par exemple la santé publique. En l'espèce, le requérant n'a participé ni à la rédaction ni au choix de l'illustration - symbole de la "Mort" - de la publication en cause; les propos qui lui sont véritablement imputables sont plutôt nuancés et aucun élément ne permet de conclure à un impact substantiel de ceux-ci sur les intérêts des fabricants. Il y a ainsi un décalage avec l'ampleur de l'interdiction portant sur la substance même de la thèse du requérant, qui a sa place dans un débat public même si elle est minoritaire et peut sembler dénuée de fondement; en effet, il serait particulièrement excessif de limiter la liberté d'expression à l'exposé des seules idées généralement admises. Eu égard à ce qui précède et vu la gravité des sanctions encourues, la mesure litigieuse ne saurait passer pour nécessaire dans une société démocratique (ch. 46 - 51). Conclusion: violation de l'art. 10 CEDH.</w:t>
      </w:r>
    </w:p>
    <w:p>
      <w:r>
        <w:t>Regeste SUISSE: Art. 10 CEDH. Interdiction faite au requérant d'affirmer la nocivité pour la santé humaine des aliments préparés dans les fours à micro-ondes suite à la publication d'un article. Il était prévisible que la publication de l'article en cause était susceptible de constituer un acte de concurrence déloyale; prévue par la loi, cette ingérence poursuivait le but légitime de protection des droits d'autrui (ch. 35 - 38 et 42). Les autorités disposaient d'une certaine marge d'appréciation pour juger de l'existence d'un "besoin social impérieux" de prendre la mesure litigieuse; si celle-ci apparaît indispensable en matière commerciale, spécialement dans un domaine aussi complexe et fluctuant que la concurrence déloyale, il convient toutefois de la relativiser lorsque l'individu n'a pas tenu un discours strictement commercial mais a participé à un débat touchant à l'intérêt général, par exemple la santé publique. En l'espèce, le requérant n'a participé ni à la rédaction ni au choix de l'illustration - symbole de la "Mort" - de la publication en cause; les propos qui lui sont véritablement imputables sont plutôt nuancés et aucun élément ne permet de conclure à un impact substantiel de ceux-ci sur les intérêts des fabricants. Il y a ainsi un décalage avec l'ampleur de l'interdiction portant sur la substance même de la thèse du requérant, qui a sa place dans un débat public même si elle est minoritaire et peut sembler dénuée de fondement; en effet, il serait particulièrement excessif de limiter la liberté d'expression à l'exposé des seules idées généralement admises. Eu égard à ce qui précède et vu la gravité des sanctions encourues, la mesure litigieuse ne saurait passer pour nécessaire dans une société démocratique (ch. 46 - 51). Conclusion: violation de l'art. 10 CEDH.</w:t>
      </w:r>
    </w:p>
    <w:p>
      <w:r>
        <w:t>Regesto Questo riassunto esiste solo in francese. SUISSE: Art. 10 CEDH. Interdiction faite au requérant d'affirmer la nocivité pour la santé humaine des aliments préparés dans les fours à micro-ondes suite à la publication d'un article. Il était prévisible que la publication de l'article en cause était susceptible de constituer un acte de concurrence déloyale; prévue par la loi, cette ingérence poursuivait le but légitime de protection des droits d'autrui (ch. 35 - 38 et 42). Les autorités disposaient d'une certaine marge d'appréciation pour juger de l'existence d'un "besoin social impérieux" de prendre la mesure litigieuse; si celle-ci apparaît indispensable en matière commerciale, spécialement dans un domaine aussi complexe et fluctuant que la concurrence déloyale, il convient toutefois de la relativiser lorsque l'individu n'a pas tenu un discours strictement commercial mais a participé à un débat touchant à l'intérêt général, par exemple la santé publique. En l'espèce, le requérant n'a participé ni à la rédaction ni au choix de l'illustration - symbole de la "Mort" - de la publication en cause; les propos qui lui sont véritablement imputables sont plutôt nuancés et aucun élément ne permet de conclure à un impact substantiel de ceux-ci sur les intérêts des fabricants. Il y a ainsi un décalage avec l'ampleur de l'interdiction portant sur la substance même de la thèse du requérant, qui a sa place dans un débat public même si elle est minoritaire et peut sembler dénuée de fondement; en effet, il serait particulièrement excessif de limiter la liberté d'expression à l'exposé des seules idées généralement admises. Eu égard à ce qui précède et vu la gravité des sanctions encourues, la mesure litigieuse ne saurait passer pour nécessaire dans une société démocratique (ch. 46 - 51). Conclusion: violation de l'art. 10 CEDH.</w:t>
      </w:r>
    </w:p>
    <w:p>
      <w:pPr>
        <w:pStyle w:val="Heading2"/>
      </w:pPr>
      <w:r>
        <w:t>Erwägungen</w:t>
      </w:r>
    </w:p>
    <w:p>
      <w:r>
        <w:rPr>
          <w:b/>
        </w:rPr>
        <w:t>E. 30</w:t>
      </w:r>
    </w:p>
    <w:p>
      <w:r>
        <w:t>D'après le requérant, l'interdiction dont les juridictions suisses l'ont frappé en vertu de la loi fédérale contre la concurrence déloyale du 19 décembre 1986 a enfreint l'article 10 de la Convention, aux termes duquel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Le Gouvernement combat cette thèse, tandis que la Commission y souscrit.</w:t>
      </w:r>
    </w:p>
    <w:p>
      <w:r>
        <w:rPr>
          <w:b/>
        </w:rPr>
        <w:t>E. 31</w:t>
      </w:r>
    </w:p>
    <w:p>
      <w:r>
        <w:t>La Cour observe qu'il est fait interdiction à M. Hertel, sous peine des sanctions des articles 292 du code pénal et 403 du code de procédure pénale,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dans des publications et dans des discours publics concernant les fours à micro-ondes (paragraphes 20, 22 et 23 ci-dessus). Il est donc manifeste que l'intéressé subit une « ingérence d'autorités publiques » dans l'exercice du droit garanti par l'article 10 ; cela n'est d'ailleurs pas controversé. Pareille immixtion enfreint la Convention si elle ne remplit pas les exigences du paragraphe 2 de l'article 10. Il y a donc lieu de déterminer si elle était « prévue par la loi », inspirée par un ou des buts légitimes au regard dudit paragraphe et « nécessaire, dans une société démocratique », pour les atteindre. A. « Prévue par la loi »</w:t>
      </w:r>
    </w:p>
    <w:p>
      <w:r>
        <w:rPr>
          <w:b/>
        </w:rPr>
        <w:t>E. 32</w:t>
      </w:r>
    </w:p>
    <w:p>
      <w:r>
        <w:t>Le requérant conteste que l'ingérence litigieuse fût « prévue par la loi ». Selon lui, n'étant pas un acteur du marché des appareils électroménagers, il ne pouvait raisonnablement prévoir qu'en communiquant son rapport d'étude au Journal Franz Weber il était susceptible de commettre un acte de concurrence déloyale au sens de la loi du 19 décembre 1986. La question de l'ampleur du champ d'application de celle-ci serait d'ailleurs controversée.</w:t>
      </w:r>
    </w:p>
    <w:p>
      <w:r>
        <w:rPr>
          <w:b/>
        </w:rPr>
        <w:t>E. 33</w:t>
      </w:r>
    </w:p>
    <w:p>
      <w:r>
        <w:t>Le Gouvernement réplique que la mesure frappant le requérant repose sur les articles 2, 3 et 9 de la loi du 19 décembre 1986 et sur l'interprétation que le Tribunal fédéral donne de ces dispositions. Il en ressortirait que même une personne qui ne se trouve pas dans une « situation de concurrence avec des fournisseurs ou des acheteurs » de tels biens peut agir de façon « déloyale » au sens de ladite loi dès lors qu'elle commet un « acte de concurrence », c'est-à-dire un acte propre à influencer le marché ; l'« intention subjective » de parvenir à cette fin ne serait pas pertinente. La diffusion des assertions litigieuses étant de nature à produire un « impact objectif » sur le commerce des fours à micro-ondes, M. Hertel ne pourrait soutenir qu'il n'était pas prévisible que l'interdiction de l'article 9 le frapperait.</w:t>
      </w:r>
    </w:p>
    <w:p>
      <w:r>
        <w:rPr>
          <w:b/>
        </w:rPr>
        <w:t>E. 34</w:t>
      </w:r>
    </w:p>
    <w:p>
      <w:r>
        <w:t>La Commission parvient à la même conclusion.</w:t>
      </w:r>
    </w:p>
    <w:p>
      <w:r>
        <w:rPr>
          <w:b/>
        </w:rPr>
        <w:t>E. 35</w:t>
      </w:r>
    </w:p>
    <w:p>
      <w:r>
        <w:t>La Cour rappelle que l'on ne peut considérer comme une « loi » au sens de l'article 10 § 2 qu'une norme énoncée avec assez de précision pour permettre au citoyen de régler sa conduite ; en s'entourant au besoin de conseils éclairés, il doit être à même de prévoir, à un degré raisonnable dans les circonstances de la cause, les conséquences de nature à dériver d'un acte déterminé. Elles n'ont pas besoin d'être prévisibles avec une certitude absolue. La certitude, bien que souhaitable, s'accompagne parfois d'une rigidité excessive ; or le droit doit savoir s'adapter aux changements de situation. Aussi beaucoup de lois se servent-elles, par la force des choses, de formules plus ou moins vagues dont l'interprétation et l'application dépendent de la pratique (voir, par exemple, l'arrêt Sunday Times c.Royaume-Uni (n° 1) du 26 avril 1979, série A n° 30, p. 31, § 49).</w:t>
      </w:r>
    </w:p>
    <w:p>
      <w:r>
        <w:rPr>
          <w:b/>
        </w:rPr>
        <w:t>E. 36</w:t>
      </w:r>
    </w:p>
    <w:p>
      <w:r>
        <w:t>En l'espèce, l'article 2 de la loi fédérale contre la concurrence déloyale du 19 décembre 1986 (« LCD ») contient une clause générale selon laquelle sont « déloya[ux] et illicite[s] » non seulement toute pratique commerciale mais aussi tout comportement « qui est trompeur ou qui contrevient de toute autre manière aux règles de la bonne foi et qui influe sur les rapports entre concurrents ou entre fournisseurs et clients ». Par ailleurs, l'article 3, qui énumère certains agissements déloyaux, précise notamment qu'« agit de façon déloyale celui qui (...) dénigre autrui, ses marchandises, ses oeuvres, ses prestations, ses prix ou ses affaires par des allégations inexactes, fallacieuses ou inutilement blessantes (...) » (paragraphe 25 ci-dessus). La LCD ne restreint donc pas son champ d'application aux seuls agents économiques : les tiers au marché tel M. Hertel sont aussi concernés. Si des doutes devaient subsister quant à la volonté expresse du législateur à cet égard, ceux-ci s'effaceraient à la lecture du message du Conseil fédéral à l'appui du projet de ladite loi (message du 18 mai 1983, FF 1983 II 1037). Il en ressort en effet que les auteurs du projet entendaient, à l'instar du législateur de 1943, assurer la protection de la concurrence en tant qu'« institution » plutôt que des seuls « concurrents ». Le message précise d'ailleurs ce qui suit (chapitre 241.2, relatif au commentaire du projet d'article 2) : « (...) La violation de la bonne foi s'exprime dans des comportements ou dans des pratiques commerciales qui influent sur les rapports entre les concurrents ou entre les fournisseurs et les clients. (...) La notion de comportement qui doit s'entendre dans le sens d'influence sur les relations de concurrence permettra d'inclure également des agissements de tiers, importants pour la concurrence, mais qui ne rentrent pas directement dans le jeu de la concurrence, soit du côté des concurrents, soit de celui des clients. Le cercle des auteurs d'agissements importants pour la concurrence sera donc étendu. Il est parfaitement envisageable que des organisations de consommateurs puissent également influencer déloyalement la concurrence en publiant des tests comparatifs ou en parlant d'articles de presse, d'émissions de radio ou de télévision. L'extension du domaine protégé en vertu de la LCD à de plus larges milieux a pour conséquence de faire en sorte que ces milieux devront assumer leurs responsabilités et pourront être amenés à se justifier pour cause d'influence déloyale sur la concurrence. L'intention d'appréhender de façon large le cercle des auteurs possible n'est par ailleurs pas nouvelle. Le message de 1942 au sujet de la LCD (FF 1942 685) constate que la concurrence déloyale peut n'être pas uniquement le fait des concurrents, mais que la loi est également applicable lorsque des tiers ou des associations interviennent dans la concurrence en faveur de certaines entreprises (...). Cette conception est précisée dans certains faits constitutifs de l'actuelle LCD où il est expressément fait mention de l'activité de tierces personnes (...). La nouvelle formulation de cet article précise très nettement et de façon définitive que le cercle des auteurs potentiels d'une concurrence déloyale sera désormais beaucoup plus large ; il est ainsi inutile de mentionner explicitement des tiers lorsqu'il s'agit d'un comportement n'impliquant pas une position concurrentielle. De même la vieille querelle au sujet de la nécessité d'une relation de concurrence pour l'application de la LCD deviendra ainsi sans objet. La doctrine a relevé, depuis un temps certain, que l'exigence d'une relation de concurrence aboutissait à des restrictions inopportunes (...) (...) » Le message ajoute (chapitre 241.31, relatif au commentaire du projet d'article 3 a) : « (...) La formulation très large de la clause générale (...) tient compte du fait que des tiers peuvent également influencer ou perturber déloyalement les rapports de concurrence. Dans le cas concret, cela signifie qu'un dénigrement peut être commis par des personnes, des organisations ou des associations qui ne sont pas elles-mêmes des concurrents. Ce qui est décisif, c'est le fait de savoir si les allégations inexactes, fallacieuses ou inutilement blessantes entravent de manière inadmissible la position commerciale de celui qui est attaqué ou les relations de concurrence. »</w:t>
      </w:r>
    </w:p>
    <w:p>
      <w:r>
        <w:rPr>
          <w:b/>
        </w:rPr>
        <w:t>E. 37</w:t>
      </w:r>
    </w:p>
    <w:p>
      <w:r>
        <w:t>Le Tribunal fédéral avait du reste déjà, à l'époque des faits de la cause, indiqué que l'existence d'une « relation de concurrence » entre l'auteur de l'acte en litige et la personne qu'il lèse ne constitue pas une condition de l'application de la loi du 19 décembre 1986 et avait ainsi jugé qu'un journaliste peut, par ses propres exposés ou par la reproduction de ceux d'autrui, se rendre coupable d'infractions à certaines de ses dispositions (arrêt du 18 mars 1991 ; Arrêts du Tribunal fédéral suisse (ATF) 117 IV 193).</w:t>
      </w:r>
    </w:p>
    <w:p>
      <w:r>
        <w:rPr>
          <w:b/>
        </w:rPr>
        <w:t>E. 38</w:t>
      </w:r>
    </w:p>
    <w:p>
      <w:r>
        <w:t>La Cour reconnaît en conséquence qu'il était « prévisible » que la communication du rapport d'étude litigieux au Journal Franz Weber et la publication consécutive de celui-ci étaient susceptibles de constituer un acte de « concurrence » au sens de la LCD. Ceci étant, il lui suffit, pour conclure que l'ingérence était « prévue par la loi », de constater que l'article 3 LCD précise qu'« agit de façon déloyale celui qui, notamment (...) dénigre autrui, ses marchandises, ses services, ses oeuvres, ses prestations, ses prix ou ses affaires par des allégations inexactes, fallacieuses ou inutilement blessantes (...) » et que l'article 9 dispose que « Celui qui, par un acte de concurrence déloyale, subit une atteinte dans sa clientèle, son crédit ou sa réputation professionnelle, ses affaires ou ses intérêts économiques en général ou celui qui en est menacé, peut demander au juge (...) de l'interdire, si elle est imminente » (paragraphe 25 ci-dessus). B. But légitime</w:t>
      </w:r>
    </w:p>
    <w:p>
      <w:r>
        <w:rPr>
          <w:b/>
        </w:rPr>
        <w:t>E. 39</w:t>
      </w:r>
    </w:p>
    <w:p>
      <w:r>
        <w:t>Le requérant soutient que le but poursuivi en l'espèce - la garantie d'une concurrence « loyale » et donc la protection de simples intérêts commerciaux - ne figure pas parmi ceux limitativement énumérés au paragraphe 2 de l'article 10.</w:t>
      </w:r>
    </w:p>
    <w:p>
      <w:r>
        <w:rPr>
          <w:b/>
        </w:rPr>
        <w:t>E. 40</w:t>
      </w:r>
    </w:p>
    <w:p>
      <w:r>
        <w:t>Le Gouvernement plaide que l'interdiction prononcée contre le requérant visait à préserver les consommateurs et fournisseurs de la diffusion d'indications trompeuses et fallacieuses sur les caractéristiques des services et biens offerts sur le marché. Elle tendait ainsi non seulement à la protection des « droits d'autrui » mais aussi à la « défense de l'ordre » économique.</w:t>
      </w:r>
    </w:p>
    <w:p>
      <w:r>
        <w:rPr>
          <w:b/>
        </w:rPr>
        <w:t>E. 41</w:t>
      </w:r>
    </w:p>
    <w:p>
      <w:r>
        <w:t>Pour la Commission, l'ingérence en cause visait « la protection de la réputation [et] des droits d'autrui ».</w:t>
      </w:r>
    </w:p>
    <w:p>
      <w:r>
        <w:rPr>
          <w:b/>
        </w:rPr>
        <w:t>E. 42</w:t>
      </w:r>
    </w:p>
    <w:p>
      <w:r>
        <w:t>La Cour observe que la loi fédérale contre la concurrence déloyale du 19 décembre 1986 « vise à garantir, dans l'intérêt de toutes les parties concernées, une concurrence loyale qui ne soit pas faussée » (article premier ; paragraphe 25 ci-dessus) et permet à celui qui, du fait d'un « acte de concurrence déloyale », subit ou est « menacé » de subir une « atteinte dans sa clientèle, son crédit ou sa réputation professionnelle, ses affaires ou ses intérêts économiques en général », de demander au juge d'interdire celle-ci (article 9 ; ibidem ). C'est en application de ces dispositions que les juridictions internes accueillirent la requête de l'Association suisse des fabricants et fournisseurs d'appareils électrodomestiques qui imputait à M. Hertel un acte de concurrence déloyale de nature à porter préjudice aux intérêts de ses membres. Il n'est donc pas douteux que la mesure en cause tendait à la « protection (...) des droits d'autrui ». C. « Nécessaire dans une société démocratique »</w:t>
      </w:r>
    </w:p>
    <w:p>
      <w:r>
        <w:rPr>
          <w:b/>
        </w:rPr>
        <w:t>E. 43</w:t>
      </w:r>
    </w:p>
    <w:p>
      <w:r>
        <w:t>M. Hertel voit dans l'interdiction qui le frappe une mesure disproportionnée. Elle aboutirait à une protection démesurée des intérêts économiques des membres de l'association plaignante au prix de la censure de ses travaux de recherche et de sa participation au débat scientifique relatif aux questions de santé publique que pose l'utilisation des fours à micro-ondes.</w:t>
      </w:r>
    </w:p>
    <w:p>
      <w:r>
        <w:rPr>
          <w:b/>
        </w:rPr>
        <w:t>E. 44</w:t>
      </w:r>
    </w:p>
    <w:p>
      <w:r>
        <w:t>Selon le Gouvernement, l'ingérence dans la liberté d'expression du requérant vise, dans l'intérêt de toute la société, à garantir une concurrence loyale et libre. Elle répondrait de ce fait à un besoin social impérieux. Les juridictions suisses n'auraient ordonné l'interdiction litigieuse qu'après avoir soigneusement mis en balance les intérêts en présence : d'une part, celui de l'Association suisse des fabricants et fournisseurs d'appareils électrodomestiques (« FAE ») ainsi que des consommateurs d'être protégés contre la propagation d'allégations fallacieuses relatives aux fours à micro-ondes, et, d'autre part, celui du requérant de diffuser les informations de son choix. L'article litigieux présenterait en effet le requérant comme un « expert » ; illustré de surcroît de l'image choquante de la mort, il affirmerait qu'il est scientifiquement prouvé que l'usage des fours à micro-ondes est dangereux pour la santé humaine. Eu égard au fait que le Journal Franz Weber s'adresserait non à des spécialistes mais à des lecteurs profanes et serait tiré à plus de cent mille exemplaires, un large public aurait ainsi pu être convaincu de l'existence d'une certitude en la matière. Or non seulement la question serait fortement controversée, mais en plus les recherches effectuées par le requérant manqueraient du sérieux nécessaire à leur qualification de « scientifiques ». Ces circonstances justifieraient l'ingérence litigieuse, par ailleurs modérée : M. Hertel resterait libre non seulement de poursuivre ses recherches dans le domaine des micro-ondes mais aussi d'en publier et diffuser les résultats dans des sphères non économiques telles que les milieux scientifiques ou académiques. Il y aurait lieu en outre de prendre en compte les propos choquants tenus par l'intéressé en 1989 et reproduits dans le numéro 8 du Journal Franz Weber , selon lesquels les fours à micro-ondes seraient « pires que les chambres à gaz de Dachau ». Vu enfin la marge d'appréciation dont disposeraient les Etats contractants dans le domaine de la concurrence déloyale, l'article 10 n'aurait pas été violé.</w:t>
      </w:r>
    </w:p>
    <w:p>
      <w:r>
        <w:rPr>
          <w:b/>
        </w:rPr>
        <w:t>E. 45</w:t>
      </w:r>
    </w:p>
    <w:p>
      <w:r>
        <w:t>La Commission parvient à la conclusion contraire.</w:t>
      </w:r>
    </w:p>
    <w:p>
      <w:r>
        <w:rPr>
          <w:b/>
        </w:rPr>
        <w:t>E. 46</w:t>
      </w:r>
    </w:p>
    <w:p>
      <w:r>
        <w:t>La Cour rappelle les principes fondamentaux qui se dégagent de sa jurisprudence, tels qu'elle les a dernièrement exposés dans les arrêts Zana c. Turquie et Grigoriades c. Grèce (arrêts du 25 novembre 1997, Recueil des arrêts et décisions 1997-VII, pp. 2547-2548, § 51, et p. 2589, § 44, respectivement)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(arrêts Handyside c. Royaume-Uni du 7 décembre 1976, série A n? 24, p. 23, § 49, Lingens c. Autriche du 8 juillet 1986, série A n? 103, p. 26, § 41, et Jersild c. Danemark du 23 septembre 1994, série A n? 298, p. 26, § 37).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(arrêt Sunday Times c. Royaume-Uni (n? 2) du 26 novembre 1991, série A n? 217, p. 29, § 50). Ce faisant, la Cour doit se convaincre que les autorités nationales ont appliqué des règles conformes aux principes consacrés à l'article 10 et ce, de surcroît, en se fondant sur une appréciation acceptable des faits pertinents (arrêt Jersild précité, p. 26, § 31).</w:t>
      </w:r>
    </w:p>
    <w:p>
      <w:r>
        <w:rPr>
          <w:b/>
        </w:rPr>
        <w:t>E. 47</w:t>
      </w:r>
    </w:p>
    <w:p>
      <w:r>
        <w:t>Les autorités suisses disposaient ainsi d'une certaine marge d'appréciation pour juger de l'existence d'un « besoin social impérieux » de faire au requérant l'interdiction dont il s'agit. Pareille marge d'appréciation est particulièrement indispensable en matière commerciale, spécialement dans un domaine aussi complexe et fluctuant que la concurrence déloyale (voir les arrêts markt intern Verlag GmbH et Klaus Beermann c. Allemagne du 20 novembre 1989, série A n° 165, p. 20, § 33, et Jacubowski c. Allemagne du 23 juin 1994, série A n° 291-A, p. 14, § 26). Il y a toutefois lieu de relativiser l'ampleur de celle-ci lorsqu'est en jeu non le discours strictement « commercial » de tel individu mais sa participation à un débat touchant à l'intérêt général, comme par exemple à la santé publique ; or en l'espèce on ne saurait nier l'existence d'un tel débat, portant sur les effets des micro-ondes sur la santé humaine (d'ailleurs seules étaient en cause les conclusions de la recherche effectuée par M. Hertel telles qu'exposées dans le numéro 19 du Journal Franz Weber et non l'objet desdites recherches). En cela, la présente espèce diffère substantiellement des affaires markt intern et Jacubowski précitées. La Cour entend en conséquence procéder à un examen attentif de la proportionnalité des mesures litigieuses au but poursuivi. A cet égard, il lui revient de faire la balance des exigences de la protection des droits des membres de la FAE avec la liberté d'expression de M. Hertel.</w:t>
      </w:r>
    </w:p>
    <w:p>
      <w:r>
        <w:rPr>
          <w:b/>
        </w:rPr>
        <w:t>E. 48</w:t>
      </w:r>
    </w:p>
    <w:p>
      <w:r>
        <w:t>La Cour observe que le requérant s'est borné à transmettre une copie de son rapport d'étude au Journal Franz Weber : il n'a participé ni à la rédaction du numéro 19 dudit périodique ni au choix de son illustration, et n'en a eu connaissance qu'après sa parution. Cela ressort de la déclaration de M. Weber du 14 avril 1992 (paragraphe 18 ci-dessus) et ne fut mis en cause ni par le tribunal de commerce du canton de Berne ni par le Tribunal fédéral : selon les deux juridictions, la responsabilité du requérant trouvait sa source dans le fait qu'en communiquant son rapport au Journal Franz Weber , il se serait accommodé d'une exploitation simpliste et outrancière de celui-ci - laquelle aurait été prévisible eu égard au périodique dont il s'agit - et que, par la suite, il aurait repris à son compte l'article litigieux (paragraphes 22-23 ci-dessus). Du texte dudit numéro 19 se rapportant aux fours à micro-ondes, le requérant n'est ainsi l'auteur ou le coauteur ni de l'intitulé de la page de couverture (paragraphe 10 ci-dessus), ni de l'éditorial (celui-ci est signé Franz Weber ; paragraphe 11 ci-dessus), ni des pages 3 à 10 (elles sont signées René d'Ombresson ; paragraphe 12 ci-dessus). Seules peuvent lui être attribuées, à l'exclusion des titres et sous-titres qui y figurent, les pages 5 à 10 qui contiennent un extrait du rapport dont il est question (paragraphe 13 ci-dessus). Or la Cour constate qu'il n'y est nulle part expressément proposé que les fours à micro-ondes fussent interdits, détruits ou boycottés et que le requérant n'y reprend pas les propos qu'il avait tenus en 1989 et qui avaient été publiés dans le numéro 8 (avril, mai et juin 1989) du Journal Franz Weber . En outre et surtout, la thèse du requérant relative aux effets nocifs sur la santé humaine de l'ingestion d'aliments préparés au four à micro-ondes y est exposée d'une manière bien plus nuancée que le Gouvernement ne le laisse entendre ; cela tient notamment à l'usage répété du mode conditionnel et au choix de formules non affirmatives. A cet égard, les dernières lignes dudit extrait, qui synthétisent les conclusions que le requérant tire de ses expériences, sont particulièrement parlantes : s'il est écrit que les résultats obtenus « montrent des altérations qui témoignent de troubles pathogènes », il est précisé quant à d'éventuels effets cancéreux que lesdits résultats donnent une image qui « pourrait » correspondre au début d'une évolution cancéreuse et qui « mérite attention » ; de la même manière il n'est pas affirmé que l'ingestion d'aliments irradiés est nocive pour l'homme du fait de l'induction d'un rayonnement indirect par le biais des aliments, mais suggéré qu'il « pourrait » en aller de la sorte (paragraphe 13 ci-dessus).</w:t>
      </w:r>
    </w:p>
    <w:p>
      <w:r>
        <w:rPr>
          <w:b/>
        </w:rPr>
        <w:t>E. 49</w:t>
      </w:r>
    </w:p>
    <w:p>
      <w:r>
        <w:t>Il n'en reste pas moins que la diffusion de tels propos pouvait avoir un effet négatif sur les ventes desdits fours en Suisse et il n'est pas inopportun de relever à cet égard que le Journal Franz Weber est publié à plus ou moins cent vingt mille exemplaires, ce qui n'est pas négligeable. Il y a lieu néanmoins de relever que ce périodique n'a pas une vocation généraliste puisqu'il traite surtout de questions touchant à l'environnement et à la santé publique et qu'il est très essentiellement distribué par abonnement ; il touche donc vraisemblablement un lectorat spécifique si bien que l'impact des idées qui y sont exposées mérite d'être relativisé. Tel fut d'ailleurs le point de vue du président du tribunal du district de Vevey (paragraphe 17 ci-dessus). La Cour note en outre qu'en l'espèce il n'est pas prétendu que la publication litigieuse ait eu une influence concrète sur le commerce des fours à micro-ondes et qu'elle ait causé un dommage effectif aux membres de la FAE. Faisant application de la LCD, le tribunal de commerce du canton de Berne et le Tribunal fédéral se sont en effet contentés du constat de la plausibilité d'une telle influence. Le premier en particulier s'est limité à la considération suivante (traduction de l'allemand ; paragraphe 22 ci-dessus) : « (...) Il y a (...) lieu, dans chaque cas, de vérifier si le comportement de l'intéressé influe sur les rapports entre concurrents ou entre fournisseurs et clients. (...) Même s'il n'y a pas de preuve certaine d'un rapport entre baisse du chiffre d'affaires concernant les fours à micro-ondes et comportement du [défendeur], il est manifeste que les allégations et publications incriminées en l'espèce sont de nature à réduire les ventes de fours à micro-ondes et à nuire, en conséquence, aux entreprises liées au demandeur. Il y a donc lieu de conclure à l'existence d'une aptitude objective à influer sur les rapports de concurrence. »</w:t>
      </w:r>
    </w:p>
    <w:p>
      <w:r>
        <w:rPr>
          <w:b/>
        </w:rPr>
        <w:t>E. 50</w:t>
      </w:r>
    </w:p>
    <w:p>
      <w:r>
        <w:t>Il ressort de ce qui précède que M. Hertel n'a pas participé au choix de l'illustration du numéro 19 du Journal Franz Weber , que les propos qui lui sont véritablement imputables sont plutôt nuancés et qu'aucun élément ne permet de conclure à un impact substantiel desdits propos sur les intérêts des membres de la FAE. En dépit de ceci, les juridictions suisses ont fait interdiction au requérant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en association avec les fours à micro-ondes. On ne peut que relever un décalage entre cette mesure et le comportement auquel elle se propose de répondre. Il en ressort une impression de déséquilibre que concrétise l'ampleur de l'interdiction dont il s'agit. A cet égard, s'il est vrai que celle-ci porte uniquement sur des affirmations bien précises, il n'en reste pas moins que lesdites affirmations ont trait à la substance même de la thèse défendue par le requérant. La mesure en cause a ainsi pour effet de censurer partiellement les travaux de ce dernier et de limiter grandement son aptitude à exposer publiquement une thèse qui a sa place dans un débat public dont l'existence ne peut être niée. Peu importe que l'opinion dont il s'agit est minoritaire et qu'elle peut sembler dénuée de fondement : dans un domaine où la certitude est improbable, il serait particulièrement excessif de limiter la liberté d'expression à l'exposé des seules idées généralement admises. La circonstance que les juridictions suisses ont expressément réservé la liberté de M. Hertel de poursuivre ses recherches n'enlève rien à ce constat. Quant à la possibilité dont il disposerait d'en présenter les résultats en dehors de la « sphère économique », elle ne transparaît pas avec évidence des décisions litigieuses ; le cas échéant, la large portée de la LCD empêcherait d'y voir une atténuation marquée de l'importance de l'ingérence dont il est question. Au surplus, en cas de non-respect de l'interdiction, le requérant encourt une sanction pouvant aller jusqu'à une privation de liberté. 51. Eu égard à ce qui précède la mesure litigieuse ne saurait passer pour « nécessaire » « dans une société démocratique ». Partant, il y a eu violation de l'article 10. ii. sur les violations alléguées des articles 6 § 1 et 8 de la convention 52. Le requérant soutient que la mesure qui le frappe l'empêche de communiquer à d'autres personnes le résultat de son travail scientifique et porte atteinte à sa « personnalité de scientifique » ; il voit là une violation de l'article 8. Il ajoute qu'en lui défendant d'associer symboles de la mort et fours à micro-ondes, les juridictions suisses lui interdisent un acte qu'il n'a pas commis - puisqu'il se serait borné à communiquer son rapport au Journal Franz Weber - et qu'il n'a pas l'intention de commettre ; il dénonce à ce titre une mesure « inéquitable » et une violation de l'article 6 § 1. 53. Le Gouvernement considère qu'aucune question ne se pose sur le terrain de l'article 8 et que le grief tiré de l'article 6 § 1 est sans fondement. 54. A l'instar de la Commission, eu égard au constat de violation de l'article 10 auquel elle parvient, la Cour estime qu'aucune question distincte ne se pose sous l'angle des articles 6 § 1 et 8. III. Sur l'application de l'article 50 de la Convention 55. Aux termes de l'article 50 de la Convention,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56. M. Hertel affirme que l'interdiction dont il fait l'objet a entraîné la fermeture de son laboratoire et lui a ainsi causé un dommage qu'il évalue à 20 000 francs suisses (CHF). 57. Le Gouvernement engage la Cour à ne pas donner suite à cette prétention. 58. Le délégué de la Commission ne se prononce pas. 59. La Cour n'aperçoit aucun lien de causalité entre le préjudice invoqué par l'intéressé et l'atteinte au droit de celui-ci à la liberté d'expression. Elle rejette donc la demande. B. Frais et dépens 60. Le requérant réclame 72 917 CHF pour ses frais et dépens devant les juridictions suisses et les organes de Strasbourg (soit 7 980 CHF à ce dernier titre). 61. Le Gouvernement soutient que, s'agissant des frais et dépens du requérant devant les juridictions suisses, seuls ceux relatifs à l'instance devant le Tribunal fédéral - soit 13 000 CHF - méritent remboursement puisqu'il s'agirait de l'unique recours engagé sur le plan national pour essayer de faire constater la violation alléguée et d'y remédier. Quant à ceux se rapportant à la procédure devant les organes de Strasbourg, ils seraient équitablement évalués à 8 000 CHF. Bref, le Gouvernement se déclare prêt à payer 21 000 CHF à l'intéressé. 62. Quant au délégué de la Commission, il ne prend pas position. 63. Lorsque la Cour constate une violation de la Convention, elle peut accorder au requérant le paiement non seulement de ses frais et dépens devant les organes de Strasbourg, mais aussi de ceux qu'il a engagés devant les juridictions nationales pour prévenir ou faire corriger par celles-ci ladite violation (voir notamment l'arrêt Zimmermann et Steiner c. Suisse du 13 juillet 1983, série A n° 66, p. 14, § 36). En l'espèce, eu égard à l'objet et à l'enjeu de l'instance devant le tribunal de commerce du canton de Berne, M. Hertel est habilité à demander le paiement des frais et dépens y relatifs en sus de ceux se rapportant aux procédures devant le Tribunal fédéral, la Commission et la Cour. Ceci étant, la Cour estime raisonnable d'allouer 40 000 CHF à l'intéressé. C. Intérêts moratoires 64. Selon les informations dont dispose la Cour,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