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19931124_13972_88 vom 1. Januar 2021</w:t>
      </w:r>
    </w:p>
    <w:p>
      <w:r>
        <w:t>Bundesgericht (BGE), 2021-01-01, FR</w:t>
      </w:r>
    </w:p>
    <w:p>
      <w:r>
        <w:rPr>
          <w:b/>
        </w:rPr>
        <w:t xml:space="preserve">Quelle: </w:t>
      </w:r>
      <w:r>
        <w:t>https://mcp.opencaselaw.ch/entscheid/bge_19931124_13972_88</w:t>
      </w:r>
    </w:p>
    <w:p>
      <w:r>
        <w:t>FR: BGE 19931124_13972_88 du 1 janvier 2021</w:t>
      </w:r>
    </w:p>
    <w:p>
      <w:r>
        <w:t>IT: BGE 19931124_13972_88 del 1 gennaio 2021</w:t>
      </w:r>
    </w:p>
    <w:p>
      <w:pPr>
        <w:pStyle w:val="Heading2"/>
      </w:pPr>
      <w:r>
        <w:t>Regeste</w:t>
      </w:r>
    </w:p>
    <w:p>
      <w:r>
        <w:t>Regeste Diese Zusammenfassung existiert nur auf Französisch. SUISSE: Art. 6 par. 1 et 3 let. c CEDH combinés. Absence d'un avocat lors de plusieurs interrogatoires d'un suspect par la police et par le procureur de district. L'art. 6 CEDH s'applique aussi, à certaines conditions, à la phase d'instruction précédant la procédure de jugement (ch. 36). Toute défaillance d'un avocat choisi par l'accusé n'est pas imputable à l'Etat. Ici, dès le retrait de cet avocat, les autorités désignèrent un avocat d'office qui reçut communication du dossier et ne souleva pas le problème de l'absence d'avocat aux interrogatoires antérieurs. Enfin, pour la procédure de jugement, les débats devant le tribunal de district puis la cour d'appel s'entourèrent de garanties suffisantes (ch. 41 - 43). Conclusion: non-violation de l'art. 6 par. 1 et 3 let. c CEDH combinés.</w:t>
      </w:r>
    </w:p>
    <w:p>
      <w:r>
        <w:t>Regeste SUISSE: Art. 6 par. 1 et 3 let. c CEDH combinés. Absence d'un avocat lors de plusieurs interrogatoires d'un suspect par la police et par le procureur de district. L'art. 6 CEDH s'applique aussi, à certaines conditions, à la phase d'instruction précédant la procédure de jugement (ch. 36). Toute défaillance d'un avocat choisi par l'accusé n'est pas imputable à l'Etat. Ici, dès le retrait de cet avocat, les autorités désignèrent un avocat d'office qui reçut communication du dossier et ne souleva pas le problème de l'absence d'avocat aux interrogatoires antérieurs. Enfin, pour la procédure de jugement, les débats devant le tribunal de district puis la cour d'appel s'entourèrent de garanties suffisantes (ch. 41 - 43). Conclusion: non-violation de l'art. 6 par. 1 et 3 let. c CEDH combinés.</w:t>
      </w:r>
    </w:p>
    <w:p>
      <w:r>
        <w:t>Regesto Questo riassunto esiste solo in francese. SUISSE: Art. 6 par. 1 et 3 let. c CEDH combinés. Absence d'un avocat lors de plusieurs interrogatoires d'un suspect par la police et par le procureur de district. L'art. 6 CEDH s'applique aussi, à certaines conditions, à la phase d'instruction précédant la procédure de jugement (ch. 36). Toute défaillance d'un avocat choisi par l'accusé n'est pas imputable à l'Etat. Ici, dès le retrait de cet avocat, les autorités désignèrent un avocat d'office qui reçut communication du dossier et ne souleva pas le problème de l'absence d'avocat aux interrogatoires antérieurs. Enfin, pour la procédure de jugement, les débats devant le tribunal de district puis la cour d'appel s'entourèrent de garanties suffisantes (ch. 41 - 43). Conclusion: non-violation de l'art. 6 par. 1 et 3 let. c CEDH combinés.</w:t>
      </w:r>
    </w:p>
    <w:p>
      <w:pPr>
        <w:pStyle w:val="Heading2"/>
      </w:pPr>
      <w:r>
        <w:t>Erwägungen</w:t>
      </w:r>
    </w:p>
    <w:p>
      <w:r>
        <w:rPr>
          <w:b/>
        </w:rPr>
        <w:t>E. 43</w:t>
      </w:r>
    </w:p>
    <w:p>
      <w:r>
        <w:t>En outre, les débats devant le tribunal de district de Bülach, puis devant la cour d'appel de Zurich, s'entourèrent de garanties suffisantes: les 26 juin 1985 et 17 janvier 1986, les juges entendirent le requérant en présence de son avocat, qui eut tout loisir d'interroger l'intéressé, ainsi que son coaccusé (paragraphes 21 et 23 ci-dessus), tout comme de combattre en plaidoirie les conclusions du parquet." Mais, à mon sens, la violation devrait être constatée sur d'autres éléments du dossier et de la pratique du canton de Zurich. Les interrogatoires ont eu lieu sans avocat et sans convocation entre le 13 février et mai 1985, après l'interrogatoire de police du 2 février. Me Fischer n'a eu accès au dossier que le 27 février 1985. Le changement d'avocat, la visite de Me Fischer à la prison, sa présence à l'audition de clôture de l'instruction du 6 juin 1985 et même son absence de protestation et de réserves le 6 juin ne peuvent justifier les atteintes précédentes aux droits de la défense. Le texte de l'article 17 du code de procédure pénale du canton de Zurich applicable à l'époque (modifié depuis) ne faisait même pas obligation de convoquer l'avocat. Sous le contrôle du Tribunal fédéral suisse la législation des divers cantons devrait se conformer à la Convention européenne et à la jurisprudence de la Cour. Or, en l'espèce, il ne m'apparaît pas que l'article 6 (art. 6) ait été réellement pris en compte dans la pratique judiciaire du canton de Zurich, à l'époque des faits. Ceci va à contre-courant de toute l'évolution de la procédure pénale en Europe qui veut réserver à la défense sa place indispensable dans tout le cours de l'instruction et du procès pénal. Certes les circonstances de fait du cas d'espèce relativisent la portée de la décision. Il n'en demeure pas moins que les lacunes précitées de la législation du canton de Zurich sont patentes et que dans le cas d'espèce il en est résulté une atteinte aux droits de la défense. C'est pourquoi j'ai conclu à la violation de l'article 6 (art. 6). L'évolution des législations des États membres du Conseil de l'Europe va également dans le sens d'une meilleure protection des droits de la défense dans l'esprit de l'article 6 (art. 6). Ainsi pour la garde à vue, l'Allemagne prévoit l'intervention et la présence de l'avocat dès la première heure, la France par sa récente réforme dès la vingtième heure. En tout cas, au stade de l'instruction préparatoire, de l'instruction au fond, cette intervention est indispensable. Le respect de cette exigence implique le caractère obligatoire de la convocation afin de pouvoir mentionner dans le procès-verbal l'accomplissement de cette formalité, et réserver ultérieurement l'invocation d'éventuelles nullités. Le respect du contradictoire dans la phase ultime et au cours de l'audience n'efface pas l'irrégularité antérieure, car les déclarations obtenues sans la présence de l'avocat peuvent avoir des conséquences déterminantes sur la condamnation. La procédure Imbrioscia est un exemple de la difficulté rencontrée, même dans les États membres du Conseil de l'Europe, pour voir passer, après quarante ans, dans les textes et dans les esprits des législateurs et des juristes les principes directeurs du procès équitable issus de la Convention européenne des Droits de l'Homme. OPINION DISSIDENTE DE M. LE JUGE DE MEYER (Traduction) Le 13 juin 1966, la Cour suprême des États-Unis d'Amérique a rendu son célèbre arrêt Miranda, où les dispositions régissant l'interrogatoire pendant la détention se trouvent ainsi résumées: "Sauf à user d'autres moyens efficaces pour aviser l'intéressé de son droit de se taire et pour assurer scrupuleusement l'exercice de ce droit, il y a lieu de prendre les mesures suivantes: avant tout interrogatoire, l'intéressé doit être informé qu'il a le droit de garder le silence, que toute déclaration de sa part pourra être retenue contre lui en justice, qu'il a droit à l'assistance d'un avocat et, s'il ne peut en rémunérer un, qu'il lui en sera commis un d'office avant tout interrogatoire s'il le souhaite. La possibilité d'exercer ces droits doit lui être accordée durant tout l'interrogatoire. Après que ces renseignements lui ont été communiqués et que cette possibilité lui a été offerte, il peut en toute connaissance de cause y renoncer et accepter de répondre aux questions ou de faire une déclaration. Mais si et tant que l'accusation n'a pas démontré qu'il a bien été informé de ces droits et y a renoncé, aucune preuve recueillie grâce à un interrogatoire ne pourra être retenue contre lui." [4] Le même arrêt dit encore que nul interrogatoire ne peut avoir lieu si l'intéressé "indique (...) qu'il souhaite consulter un avocat avant de parler" ou si, alors qu'il se trouve seul, il "indique (...) ne pas vouloir être interrogé" [5] ?. Ces principes, alors clairement définis, participent de la substance même du procès équitable [6] ??. Je ne saurais donc souscrire au présent arrêt, dans lequel notre Cour ne les reconnaît et ne les applique pas. OPINION DISSIDENTE DE M. LE JUGE LOPES ROCHA Je souscris entièrement aux opinions dissidentes de MM. les juges Pettiti et De Meyer, auxquelles j'ajoute les considérations suivantes. Le droit de l'accusé à l'assistance d'un défenseur en toute phase de la procédure est, d'après les codes de procédure pénale européens les plus modernes, un acquis passant pour la réalisation la plus parfaite des droits de la défense et, par là même, d'une procédure équitable visant à garantir à l'intéressé une condition toujours plus solide et effective de partie au procès. Assurément, la jouissance d'un tel droit se justifie particulièrement dans les phases initiales de la procédure, où l'accusé se trouve dans une situation assez déséquilibrée face aux autorités de poursuite, et l'octroi d'une assistance par un technicien du droit aux interrogatoires subséquents ne saurait y remédier efficacement. Certes, l'accusé a le droit de réfuter les preuves obtenues à l'audience, y compris ses aveux, mais l'expérience montre qu'à ce stade de la procédure, un tel droit peut très difficilement conduire à contrecarrer la conviction acquise sur la base des déclarations faites hors la présence d'un défenseur. C'est pourquoi, dans la présente affaire, j'ai conclu à la violation de l'article 6 paras. 1 et 3 c) (art. 6-1, art. 6-3-c) de la Convention. 1. L'affaire porte le n° 32/1992/377/451. Les deux premiers chiffres en indiquent le rang dans l'année d'introduction, les deux derniers la place sur la liste des saisines de la Cour depuis l'origine et sur celle des requêtes initiales (à la Commission) correspondantes. 2. ? Tel que l'a modifié l'article 11 du Protocole n° 8 (P8-11), entré en vigueur le 1er janvier 1990. 3. Note du greffier: pour des raisons d'ordre pratique il n'y figurera que dans l'édition imprimée (volume 275 de la série A des publications de la Cour), mais on peut se le procurer auprès du greffe. 4. Miranda v. Arizona, Vignera v. New York, Westover v. United States et California v. Stewart, 348 US 436, pp. 478-479, 16 LEd 2d 694, p. 726. 5. ? 384 US, pp. 444-445; 16 LEd 2d, pp. 706-707. 6. ?? Voir aussi l'opinion dissidente de M. Loucaides, jointe au rapport de la Commission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