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2022 176 vom 15. November 2022</w:t>
      </w:r>
    </w:p>
    <w:p>
      <w:r>
        <w:t>BE Obergericht, 2022-11-15, DE</w:t>
      </w:r>
    </w:p>
    <w:p>
      <w:r>
        <w:rPr>
          <w:b/>
        </w:rPr>
        <w:t xml:space="preserve">Quelle: </w:t>
      </w:r>
      <w:r>
        <w:t>https://mcp.opencaselaw.ch/entscheid/be_zivilstraf_ZK_2022_176</w:t>
      </w:r>
    </w:p>
    <w:p>
      <w:r>
        <w:t>FR: BE_ZIVILSTRAF ZK 2022 176 du 15 novembre 2022</w:t>
      </w:r>
    </w:p>
    <w:p>
      <w:r>
        <w:t>IT: BE_ZIVILSTRAF ZK 2022 176 del 15 novembre 2022</w:t>
      </w:r>
    </w:p>
    <w:p>
      <w:pPr>
        <w:pStyle w:val="Heading2"/>
      </w:pPr>
      <w:r>
        <w:t>Regeste</w:t>
      </w:r>
    </w:p>
    <w:p>
      <w:r>
        <w:t>Verjährung | Haftpflicht ausservertraglich</w:t>
      </w:r>
    </w:p>
    <w:p>
      <w:pPr>
        <w:pStyle w:val="Heading2"/>
      </w:pPr>
      <w:r>
        <w:t>Erwägungen</w:t>
      </w:r>
    </w:p>
    <w:p>
      <w:r>
        <w:rPr>
          <w:b/>
        </w:rPr>
        <w:t>E. 1</w:t>
      </w:r>
    </w:p>
    <w:p>
      <w:r>
        <w:t>Es sei der Beklagte zu verpflichten, dem Kläger CHF 30'000.00 nebst Zins zu 5% seit dem 2. Ja- nuar 2000 zu bezahlen.</w:t>
      </w:r>
    </w:p>
    <w:p>
      <w:r>
        <w:rPr>
          <w:b/>
        </w:rPr>
        <w:t>E. 2</w:t>
      </w:r>
    </w:p>
    <w:p>
      <w:r>
        <w:t>Es sei davon Vormerk zu nehmen, dass es sich bei der vorliegenden Klage um eine Teilklage handelt und dass sich der Kläger weitere Ansprüche gegen den Beklagten, insbesondere Scha- denersatz und die restliche Genugtuung, ausdrücklich vorbehält.</w:t>
      </w:r>
    </w:p>
    <w:p>
      <w:r>
        <w:rPr>
          <w:b/>
        </w:rPr>
        <w:t>E. 3</w:t>
      </w:r>
    </w:p>
    <w:p>
      <w:r>
        <w:t>Nach Eingang des beim Kläger einverlangten Gerichtskostenvorschusses von CHF 4'500.00, wurde A.________ (nachfolgend: Beklagter oder Berufungskläger) mit Verfügung vom 4. Mai 2021 (pag. 41 f.) Frist zur Einreichung einer Klageant- wort angesetzt. Diese ging nach zweimaliger Fristverlängerung am 8. Juli 2021 beim Gericht ein. In seiner Klageantwort vom 7. Juli 2021 (pag. 59 ff.) beantragte der Beklagte die kostenfällige Abweisung der Klage und stellte den prozessualen Antrag, es sei das vorliegende Verfahren gemäss Art. 125 Bst. a ZPO auf die Fra- ge der Verjährung zu beschränken.</w:t>
      </w:r>
    </w:p>
    <w:p>
      <w:r>
        <w:rPr>
          <w:b/>
        </w:rPr>
        <w:t>E. 4</w:t>
      </w:r>
    </w:p>
    <w:p>
      <w:r>
        <w:t>Nachdem der Gerichtspräsident mit Verfügung vom 10. August 2021 zur Hauptver- handlung am 23. November 2021 vorgeladen hatte (pag. 85 ff.), nahm der Neben- intervenient klagende Seite mit Eingabe vom 20. August 2021 unaufgefordert Stel- lung zur Klageantwort (pag. 95 ff.).</w:t>
      </w:r>
    </w:p>
    <w:p>
      <w:r>
        <w:rPr>
          <w:b/>
        </w:rPr>
        <w:t>E. 5</w:t>
      </w:r>
    </w:p>
    <w:p>
      <w:r>
        <w:t>Anlässlich der Verhandlung vom 23. November 2021 (pag. 163 ff.) wies der Vorsit- zende die Hauptparteien und den Nebenintervenienten klagende Seite vor ihren mündlichen Vorträgen darauf hin, dass der rechtserhebliche Sachverhalt bislang unbestritten geblieben sei. Auf Nachfrage des Vorsitzenden erklärten die Hauptpar- teien und der Nebenintervenient zu Handen des Protokolls, dass sie auch im Rah- men ihres mündlichen Vortrages keine Sachverhaltsergänzungen und keine neuen Bestreitungen vorzubringen beabsichtigten und auch keine neuen Beweismittel ein- reichen oder beantragen werden. Daraufhin regte der Vorsitzende an, ohne Durch- führung eines Beweisverfahrens direkt zu den Schlussvorträgen zu schreiten, wo- mit sich die Hauptparteien und der Nebenintervenient einverstanden erklärten.</w:t>
      </w:r>
    </w:p>
    <w:p>
      <w:r>
        <w:rPr>
          <w:b/>
        </w:rPr>
        <w:t>E. 6</w:t>
      </w:r>
    </w:p>
    <w:p>
      <w:r>
        <w:t>Noch am selben Tag entschied der zuständige Gerichtspräsident was folgt (pag. 197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