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ZK 2020 276 vom 3. September 2020</w:t>
      </w:r>
    </w:p>
    <w:p>
      <w:r>
        <w:t>BE Obergericht, 2020-09-03, DE</w:t>
      </w:r>
    </w:p>
    <w:p>
      <w:r>
        <w:rPr>
          <w:b/>
        </w:rPr>
        <w:t xml:space="preserve">Quelle: </w:t>
      </w:r>
      <w:r>
        <w:t>https://mcp.opencaselaw.ch/entscheid/be_zivilstraf_ZK_2020_276</w:t>
      </w:r>
    </w:p>
    <w:p>
      <w:r>
        <w:t>FR: BE_ZIVILSTRAF ZK 2020 276 du 3 septembre 2020</w:t>
      </w:r>
    </w:p>
    <w:p>
      <w:r>
        <w:t>IT: BE_ZIVILSTRAF ZK 2020 276 del 3 settembre 2020</w:t>
      </w:r>
    </w:p>
    <w:p>
      <w:pPr>
        <w:pStyle w:val="Heading2"/>
      </w:pPr>
      <w:r>
        <w:t>Regeste</w:t>
      </w:r>
    </w:p>
    <w:p>
      <w:r>
        <w:t>Abschreibungsverfügung gemäss Art. 242 ZPO | vorsorgliche Massnahmen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 (nachfolgend: Berufungsklägerin) und C.________ (nachfolgend: Be- rufungsbeklagter), beide deutsche Staatsangehörige, sind die verheirateten Eltern der Tochter E.________ (geb. ________). Die Familie lebte in F.________, Ge- richtsregion Oberland.</w:t>
      </w:r>
    </w:p>
    <w:p>
      <w:r>
        <w:rPr>
          <w:b/>
        </w:rPr>
        <w:t>E. 2</w:t>
      </w:r>
    </w:p>
    <w:p>
      <w:r>
        <w:t>Im Juli 2019 trennten sich die Ehegatten und die Berufungsklägerin zog zusammen mit der Tochter nach G.________, Deutschland. Im Rahmen eines vom Beru- fungsbeklagten initiierten Kindsrückführungsverfahrens verpflichtete das Oberlan- desgericht H.________ die auch oberinstanzlich unterliegende Berufungsklägerin mit Beschluss vom 4. März 2020, die Tochter bis am 24. März 2020 in die Schweiz zurückzuführen.</w:t>
      </w:r>
    </w:p>
    <w:p>
      <w:r>
        <w:rPr>
          <w:b/>
        </w:rPr>
        <w:t>E. 3</w:t>
      </w:r>
    </w:p>
    <w:p>
      <w:r>
        <w:t>Bereits am 22. August 2019 hatte der Berufungsbeklagte beim Regionalgericht Oberland ein Eheschutzverfahren eingeleitet (pag. 1 ff.). In diesem Eheschutzver- fahren stellte die Berufungsklägerin am 12. März 2020 ein vorsorgliches Massnah- megesuch, wonach ihr das Aufenthaltsbestimmungsrecht über die Tochter E.________ zuzuweisen und ihr der Verbleib mit dem Kind in G.________, Deutschland, zu bewilligen sei (pag. 407 ff.). Der Berufungsbeklagte widersetzte sich diesem vorsorglichen Massnahmegesuch (pag. 433 ff.). Am 20. März 2020 er- liess das Regionalgericht im Eheschutzverfahren in der Sache folgenden vorsorgli- chen Massnahmeentscheid (pag. 490 ff.):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