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2019 423 vom 10. Oktober 2019</w:t>
      </w:r>
    </w:p>
    <w:p>
      <w:r>
        <w:t>BE Obergericht, 2019-10-10, DE</w:t>
      </w:r>
    </w:p>
    <w:p>
      <w:r>
        <w:rPr>
          <w:b/>
        </w:rPr>
        <w:t xml:space="preserve">Quelle: </w:t>
      </w:r>
      <w:r>
        <w:t>https://mcp.opencaselaw.ch/entscheid/be_zivilstraf_ZK_2019_423</w:t>
      </w:r>
    </w:p>
    <w:p>
      <w:r>
        <w:t>FR: BE_ZIVILSTRAF ZK 2019 423 du 10 octobre 2019</w:t>
      </w:r>
    </w:p>
    <w:p>
      <w:r>
        <w:t>IT: BE_ZIVILSTRAF ZK 2019 423 del 10 ottobre 2019</w:t>
      </w:r>
    </w:p>
    <w:p>
      <w:pPr>
        <w:pStyle w:val="Heading2"/>
      </w:pPr>
      <w:r>
        <w:t>Regeste</w:t>
      </w:r>
    </w:p>
    <w:p>
      <w:r>
        <w:t>Definitive Rechtsöffnung, Geusch um Leistung einer Sicherheit für die Parteientschädigung und Gesuch um unentgeltliche Rechtspflege | definitive Rechtsöffnung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Gesuch vom 28. März 2019 beantragte B.________ (nachfolgend: Beschwer- degegner), vertreten durch Advokat Dr. C.________, beim Regionalgericht Em- mental-Oberaargau (nachfolgend: Vorinstanz), es sei ihm in der Betreibung Nr. ________ des Betreibungsamtes Emmental-Oberaargau, Dienststelle Emmen- tal, für den Betrag von CHF 49‘980.38 zzgl. Zins zu 7.5 % auf CHF 42‘540.71 seit dem 22. März 2012 sowie für die Betreibungskosten von CHF 103.30 die definitive Rechtsöffnung zu erteilen, unter Kosten- und Entschädigungsfolge (pag. 1 ff.).</w:t>
      </w:r>
    </w:p>
    <w:p>
      <w:r>
        <w:rPr>
          <w:b/>
        </w:rPr>
        <w:t>E. 2</w:t>
      </w:r>
    </w:p>
    <w:p>
      <w:r>
        <w:t>A.________ (nachfolgend: Beschwerdeführer) nahm mit Eingabe vom 9. April 2019 zum Gesuch um definitive Rechtsöffnung Stellung (pag. 14 ff.).</w:t>
      </w:r>
    </w:p>
    <w:p>
      <w:r>
        <w:rPr>
          <w:b/>
        </w:rPr>
        <w:t>E. 3</w:t>
      </w:r>
    </w:p>
    <w:p>
      <w:r>
        <w:t>Mit Entscheid vom 2. August 2019 erkannte die Vorinstanz Folgendes (pag. 24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