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475 vom 10. Januar 2019</w:t>
      </w:r>
    </w:p>
    <w:p>
      <w:r>
        <w:t>BE Obergericht, 2019-01-10, DE</w:t>
      </w:r>
    </w:p>
    <w:p>
      <w:r>
        <w:rPr>
          <w:b/>
        </w:rPr>
        <w:t xml:space="preserve">Quelle: </w:t>
      </w:r>
      <w:r>
        <w:t>https://mcp.opencaselaw.ch/entscheid/be_zivilstraf_ZK_2018_475</w:t>
      </w:r>
    </w:p>
    <w:p>
      <w:r>
        <w:t>FR: BE_ZIVILSTRAF ZK 2018 475 du 10 janvier 2019</w:t>
      </w:r>
    </w:p>
    <w:p>
      <w:r>
        <w:t>IT: BE_ZIVILSTRAF ZK 2018 475 del 10 gennaio 2019</w:t>
      </w:r>
    </w:p>
    <w:p>
      <w:pPr>
        <w:pStyle w:val="Heading2"/>
      </w:pPr>
      <w:r>
        <w:t>Regeste</w:t>
      </w:r>
    </w:p>
    <w:p>
      <w:r>
        <w:t>Anfechtung einer Verfügung des kantonalen Handelsregisteramtes, Art. 165 HRegV | Handelsregister/Geschäftsfirmen/kaufmännische Buchführung</w:t>
      </w:r>
    </w:p>
    <w:p>
      <w:pPr>
        <w:pStyle w:val="Heading2"/>
      </w:pPr>
      <w:r>
        <w:t>Erwägungen</w:t>
      </w:r>
    </w:p>
    <w:p>
      <w:r>
        <w:rPr>
          <w:b/>
        </w:rPr>
        <w:t>E. 1.1</w:t>
      </w:r>
    </w:p>
    <w:p>
      <w:r>
        <w:t>Am 19. Juni 2014 wurde A.________ (nachfolgend: Beschwerdeführer 1) als einzi- ger Verwaltungsrat mit Einzelunterschrift der B.________ AG (nachfolgend: Be- schwerdeführerin 2) im Tagesregister des Handelsregisters eingetragen. Der frühe- re Verwaltungsrat D.________ wurde am selben Tag gelöscht (Beschwerdebeilage [BB] 2).</w:t>
      </w:r>
    </w:p>
    <w:p>
      <w:r>
        <w:rPr>
          <w:b/>
        </w:rPr>
        <w:t>E. 1.2</w:t>
      </w:r>
    </w:p>
    <w:p>
      <w:r>
        <w:t>Am 12. Dezember 2017 führte C.________ (nachfolgend: Beschwerdegegner) eine ausserordentliche Generalversammlung (GV) der B.________ AG durch. Im Proto- koll, welches E.________ verfasste, wurde festgehalten, dass die Aktien mit 100 % durch den Eigentümer C.________ vollständig vertreten seien. Anlässlich dieser ausserordentlichen GV wurde gemäss Protokoll der Beschwerdeführer 1 als Ver- waltungsrat abgewählt. Zum neuen Verwaltungsrat mit Einzelunterschrift wurde der Beschwerdegegner gewählt (Beschwerdeantwortbeilage [BAB] 11).</w:t>
      </w:r>
    </w:p>
    <w:p>
      <w:r>
        <w:rPr>
          <w:b/>
        </w:rPr>
        <w:t>E. 1.3</w:t>
      </w:r>
    </w:p>
    <w:p>
      <w:r>
        <w:t>E.________ liess dem Handelsregisteramt des Kantons Bern mit Schreiben vom 12. Dezember 2017 die durch den Beschwerdegegner unterzeichnete «Anmel- dung» der soeben genannten Änderungen, inkl. Protokoll der ausserordentlichen GV der B.________ AG und beglaubigter Unterschrift, zukommen (BAB 11). Ferner teilte er dem Handelsregisteramt die Sitzverlegung der B.________ AG mit (BAB 11).</w:t>
      </w:r>
    </w:p>
    <w:p>
      <w:r>
        <w:rPr>
          <w:b/>
        </w:rPr>
        <w:t>E. 1.4</w:t>
      </w:r>
    </w:p>
    <w:p>
      <w:r>
        <w:t>Als der Beschwerdeführer von dieser hängigen Anmeldung erfuhr, erwirkte er zunächst eine Registersperre nach Art. 162 der Handelsregisterverordnung (HRegV; SR 221.411). Diese hätte er mit vorsorglicher Massnahme beim zuständi- gen Gericht prosequieren müssen (vgl. Art. 162 Abs. 3 HRegV). Da ihm dies nicht gelang (vgl. Verfahren ZK 18 205, Entscheid des Obergerichts des Kantons Bern vom 8. Juni 2018, BB 4), wurde mit Tagesregistereintrag vom 29. August 2018 bzw. mit Publikation im Schweizerischen Handelsamtsblatt (SHAB) vom 3. Sep- tember 2018 (Nr. ________, S. ________) der Beschwerdeführer als Verwaltungs- rat aus dem Handelsregister gelöscht und neu der Beschwerdegegner als einziger Verwaltungsrat der B.________ AG mit Einzelunterschrift im Handelsregister ein- getragen. Gleichzeitig wurde die Domiziladresse von «c/o F.________ GmbH, G.________strasse, H.________ (Ort)» in «c/o I.________ GmbH, J.________strasse, H.________ (Ort)» geändert. 2. Mit Eingabe vom 29. September 2018 (eingereicht per e-Gov am selben Tag) er- hoben der Beschwerdeführer 1 und die Beschwerdeführerin 2 Beschwerde beim Obergericht des Kantons Bern (pag. 1 ff.). Sie beantragten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