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ZK 2018 411 vom 22. August 2018</w:t>
      </w:r>
    </w:p>
    <w:p>
      <w:r>
        <w:t>BE Obergericht, 2018-08-22, DE</w:t>
      </w:r>
    </w:p>
    <w:p>
      <w:r>
        <w:rPr>
          <w:b/>
        </w:rPr>
        <w:t xml:space="preserve">Quelle: </w:t>
      </w:r>
      <w:r>
        <w:t>https://mcp.opencaselaw.ch/entscheid/be_zivilstraf_ZK_2018_411</w:t>
      </w:r>
    </w:p>
    <w:p>
      <w:r>
        <w:t>FR: BE_ZIVILSTRAF ZK 2018 411 du 22 août 2018</w:t>
      </w:r>
    </w:p>
    <w:p>
      <w:r>
        <w:t>IT: BE_ZIVILSTRAF ZK 2018 411 del 22 agosto 2018</w:t>
      </w:r>
    </w:p>
    <w:p>
      <w:pPr>
        <w:pStyle w:val="Heading2"/>
      </w:pPr>
      <w:r>
        <w:t>Regeste</w:t>
      </w:r>
    </w:p>
    <w:p>
      <w:r>
        <w:t>Aufschub Vollstreckbarkeit; Art. 325 Abs. 2 ZPO | vorsorgliche Massnahmen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Entscheid vom 22. August 2018 (pag. 71 ff.) erteilte das Regionalgericht Bern- Mittelland (nachfolgend Vorinstanz) der B.________ (nachfolgend Gesuchsgegne- rin) in der Betreibung Nr.________ des Betreibungsamtes Bern-Mittelland, Dienst- stelle Mittelland, für den Betrag von CHF 11‘456.00 nebst Zins zu 5% seit 13. April 2018 die provisorische Rechtsöffnung und wies das Gesuch soweit weitergehend ab. Die Gerichtskosten von CHF 450.00 wurden A.________ (nachfolgend Ge- suchsteller) auferlegt und mit dem von der Gesuchsgegnerin geleisteten Vorschuss verrechnet. Der Gesuchsteller wurde verurteilt, der Gesuchsgegnerin für vorge- schossene Gerichtskosten CHF 350.00 zu ersetzen. Weiter wurde der Gesuchstel- ler verurteilt, der Gesuchsgegnerin eine Parteientschädigung von CHF 1‘200.00 zu bezahlen.</w:t>
      </w:r>
    </w:p>
    <w:p>
      <w:r>
        <w:rPr>
          <w:b/>
        </w:rPr>
        <w:t>E. 2</w:t>
      </w:r>
    </w:p>
    <w:p>
      <w:r>
        <w:t>Der erwähnte Entscheid wurde den Parteien anlässlich der Gesuchsverhandlung vom 22. August 2018 ausgehändigt (pag. 75).</w:t>
      </w:r>
    </w:p>
    <w:p>
      <w:r>
        <w:rPr>
          <w:b/>
        </w:rPr>
        <w:t>E. 3</w:t>
      </w:r>
    </w:p>
    <w:p>
      <w:r>
        <w:t>Mit Schreiben vom 22. August 2018 ersuchte der Gesuchsteller um eine schriftliche Urteilsbegründung (Gesuchsbeilage 4).</w:t>
      </w:r>
    </w:p>
    <w:p>
      <w:r>
        <w:rPr>
          <w:b/>
        </w:rPr>
        <w:t>E. 4</w:t>
      </w:r>
    </w:p>
    <w:p>
      <w:r>
        <w:t>Die Vorinstanz teilte mit Schreiben vom 23. August 2018 (pag. 83) mit, dass der Gesuchsteller die schriftliche Begründung des vorerwähnten Entscheids verlangt habe. Diese werde zu gegebener Zeit zugestellt werden.</w:t>
      </w:r>
    </w:p>
    <w:p>
      <w:r>
        <w:rPr>
          <w:b/>
        </w:rPr>
        <w:t>E. 5</w:t>
      </w:r>
    </w:p>
    <w:p>
      <w:r>
        <w:t>Mit Eingabe vom 22. August 2018 (pag. 85 ff.) stellte der Gesuchsteller die folgen- den Anträge: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