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2017 182 vom 14. Juni 2017</w:t>
      </w:r>
    </w:p>
    <w:p>
      <w:r>
        <w:t>BE Obergericht, 2017-06-14, DE</w:t>
      </w:r>
    </w:p>
    <w:p>
      <w:r>
        <w:rPr>
          <w:b/>
        </w:rPr>
        <w:t xml:space="preserve">Quelle: </w:t>
      </w:r>
      <w:r>
        <w:t>https://mcp.opencaselaw.ch/entscheid/be_zivilstraf_ZK_2017_182</w:t>
      </w:r>
    </w:p>
    <w:p>
      <w:r>
        <w:t>FR: BE_ZIVILSTRAF ZK 2017 182 du 14 juin 2017</w:t>
      </w:r>
    </w:p>
    <w:p>
      <w:r>
        <w:t>IT: BE_ZIVILSTRAF ZK 2017 182 del 14 giugno 2017</w:t>
      </w:r>
    </w:p>
    <w:p>
      <w:pPr>
        <w:pStyle w:val="Heading2"/>
      </w:pPr>
      <w:r>
        <w:t>Regeste</w:t>
      </w:r>
    </w:p>
    <w:p>
      <w:r>
        <w:t>Mahnung und Verzug bei Prozesskosten | Einsprache gegen Arrestbefehl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Zwischen C.________ (nachfolgend: Beschwerdegegnerin) als Klägerin und A.________ (nachfolgend: Beschwerdeführer) als Beklagtem war seit August 2013 ein Verfahren vor dem Regionalgericht Bern-Mittelland betreffend Durchsetzung der Auskunftspflicht und Gewinnbeteiligung in einer erbrechtlichen Streitigkeit hän- gig. Mit Zwischenentscheid vom 7. Juli 2014 wurden die Auskunftspflicht des Be- schwerdeführers bejaht und die Kosten des Zwischenentscheids zur Hauptsache geschlagen. Der Zwischenentscheid erwuchs in Rechtskraft. Am 14. Juni 2016 schlossen die Parteien einen gerichtlichen Vergleich betreffend das Forderungsbe- gehren. Gestützt darauf beantragten sie dem Regionalgericht, das Verfahren CIV 13 5311 sei als erledigt abzuschreiben und über die Kostenliquidation sei gericht- lich zu befinden.</w:t>
      </w:r>
    </w:p>
    <w:p>
      <w:r>
        <w:rPr>
          <w:b/>
        </w:rPr>
        <w:t>E. 2</w:t>
      </w:r>
    </w:p>
    <w:p>
      <w:r>
        <w:t>Am 5. August 2016 fällte das Regionalgericht folgenden Entscheid: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