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415 vom 10. Dezember 2015</w:t>
      </w:r>
    </w:p>
    <w:p>
      <w:r>
        <w:t>BE Obergericht, 2015-12-10, DE</w:t>
      </w:r>
    </w:p>
    <w:p>
      <w:r>
        <w:rPr>
          <w:b/>
        </w:rPr>
        <w:t xml:space="preserve">Quelle: </w:t>
      </w:r>
      <w:r>
        <w:t>https://mcp.opencaselaw.ch/entscheid/be_zivilstraf_ZK_2015_415</w:t>
      </w:r>
    </w:p>
    <w:p>
      <w:r>
        <w:t>FR: BE_ZIVILSTRAF ZK 2015 415 du 10 décembre 2015</w:t>
      </w:r>
    </w:p>
    <w:p>
      <w:r>
        <w:t>IT: BE_ZIVILSTRAF ZK 2015 415 del 10 dicembre 2015</w:t>
      </w:r>
    </w:p>
    <w:p>
      <w:pPr>
        <w:pStyle w:val="Heading2"/>
      </w:pPr>
      <w:r>
        <w:t>Regeste</w:t>
      </w:r>
    </w:p>
    <w:p>
      <w:r>
        <w:t>Art. 518 ZGB, Willensvollstrecker, Gleichbehandlung, Verfügungsbefugnis | Erbrecht übriges</w:t>
      </w:r>
    </w:p>
    <w:p>
      <w:pPr>
        <w:pStyle w:val="Heading2"/>
      </w:pPr>
      <w:r>
        <w:t>Erwägungen</w:t>
      </w:r>
    </w:p>
    <w:p>
      <w:r>
        <w:rPr>
          <w:b/>
        </w:rPr>
        <w:t>E. 1</w:t>
      </w:r>
    </w:p>
    <w:p>
      <w:r>
        <w:t>Anfechtungsobjekt bildet der Entscheid des Regierungsstatthalteramtes Biel/Bienne vom 13. Juli 2015.</w:t>
      </w:r>
    </w:p>
    <w:p>
      <w:r>
        <w:rPr>
          <w:b/>
        </w:rPr>
        <w:t>E. 2</w:t>
      </w:r>
    </w:p>
    <w:p>
      <w:r>
        <w:t>Gemäss Art. 7 des Gesetzes betreffend die Einführung des Schweizerischen Zivilge- setzbuches (EG ZGB; BSG 211.1) obliegt dem örtlich zuständigen Regierungsstatthal- teramt die Aufsicht über die Willensvollstrecker nach Art. 518 des Schweizerischen Zivil- gesetzbuches (ZGB; SR 210). Verfügungen und Beschwerdeentscheide des Regie- rungsstatthalteramtes betreffend die Aufsicht über Willensvollstreckerinnen und Willens- vollstrecker können binnen 30 Tagen an das Obergericht weitergezogen werden (Art. 74a EG ZGB). Das Verfahren vor dem Obergericht richtet sich nach dem Gesetz über die Verwaltungsrechtspflege (VRPG; BSG 155.21). Auf das Verfahren finden in erster</w:t>
      </w:r>
    </w:p>
    <w:p>
      <w:r>
        <w:t>Linie die Vorschriften zum Beschwerdeverfahren vor verwaltungsunabhängigen Justiz- behörden Anwendung (Art. 74 bis 84a VRPG). Die Bestimmungen des verwaltungsinter- nen Beschwerdeverfahrens (Art. 65 bis 73 VRPG) sind sinngemäss anwendbar (vgl. zum Ganzen Kreisschreiben Nr. 3 der Zivilabteilung des Obergerichts des Kantons Bern vom 21. August 2014).</w:t>
      </w:r>
    </w:p>
    <w:p>
      <w:r>
        <w:rPr>
          <w:b/>
        </w:rPr>
        <w:t>E. 3</w:t>
      </w:r>
    </w:p>
    <w:p>
      <w:r>
        <w:t>Die 1. Zivilkammer des Obergerichts des Kantons Bern ist zur Beurteilung der vorliegen- den Streitsache in jeder Hinsicht zuständig.</w:t>
      </w:r>
    </w:p>
    <w:p>
      <w:r>
        <w:rPr>
          <w:b/>
        </w:rPr>
        <w:t>E. 4</w:t>
      </w:r>
    </w:p>
    <w:p>
      <w:r>
        <w:t>Der Beschwerdeführer beteiligte sich am vorinstanzlichen Verfahren und drang mit sei- nem Antrag auf Abweisung der aufsichtsrechtlichen Beschwerde nicht durch. Er ist durch den vorinstanzlichen Entscheid formell und materiell beschwert und verfügt über- dies über ein aktuelles und praktisches Interesse an dessen Aufhebung.</w:t>
      </w:r>
    </w:p>
    <w:p>
      <w:r>
        <w:rPr>
          <w:b/>
        </w:rPr>
        <w:t>E. 4.5</w:t>
      </w:r>
    </w:p>
    <w:p>
      <w:r>
        <w:t>Der Willensvollstrecker ist zur Gleichbehandlung aller Erben und zur Einhaltung der Neu- tralität bei Interessengegensätzen verpflichtet (vgl. KARRER/VOGT/LEU, in: Basler Kom- mentar, Zivilgesetzbuch II, 5. Auflage, Basel 2015 [nachfolgend zitiert: BSK ZGB II – AU- TOR], N 16 zu Art. 518 ZGB). Ihm steht die Vertretung der Erbengemeinschaft und die Verwaltungsbefugnis über die Erbschaft von Amtes wegen zu (vgl. BSK ZGB II - SCHAU- FELBERGER/LÜSCHER, N 23 zu Art. 602 ZGB). Zur laufenden Vermögensverwaltung gehört die Einziehung fälliger Guthaben und die Wahrnehmung der Rechte des Nachlas- ses. Bei der Liegenschaftsverwaltung kommt dem Willensvollstrecker die Stellung des Vermieters zu und zwar auch gegenüber Erben (BSK ZGB II - KARRER/VOGT/LEU, N 29 und 30 zu Art. 518 ZGB). Auf die zutreffenden rechtlichen Erwägungen der Vorinstanz zu den Rechten und Pflichten des Willensvollstreckers kann verwiesen werden (E. 2.15 des angefochtenen Entscheids, pag. 94 f.). Zwar trifft es zu, dass die Verwaltungstätigkeit nicht die Hauptaufgabe des Willensvollstreckers bildet, sondern nur eine zeitlich be- schränkte Nebenaufgabe, die sich inhaltlich in der Regel auf erbschaftserhaltende Mass- nahmen beschränkt (vgl. BSK ZGB II - KARRER/VOGT/LEU, N 27 zu Art. 518 ZGB; KÜNZ-</w:t>
      </w:r>
    </w:p>
    <w:p>
      <w:r>
        <w:t>LE, in: Berner Kommentar, Art. 517-518 ZGB, Bern 2011, N 2 der Vorbemerkungen zu Art. 517-518 ZGB). Der vom Beschwerdeführer zitierte Entscheid des Bundesgerichts, wonach einmal vom Erblasser geschaffene Verhältnisse durch den Erbschaftsverwalter nicht ohne Not modifiziert werden dürften (BGer 5A_717/2009 vom 2. Februar 2010, E. 4), lässt sich jedoch nicht auf den vorliegenden Fall übertragen. Gegenstand des Ent- scheids war die Ausweisung einer Adoptivtochter aus einer zum Nachlass gehörenden Wohnung, wobei der Erbschaftsverwalter im vorinstanzlichen Verfahren keine Gefähr- dung des Nachlasses durch Entwertung oder Verlust behauptet hatte. Unter diesen Um- ständen erachtete das Bundesgericht den Entscheid des Obergerichts, die Ausweisung aufzuheben, als vertretbar und nicht willkürlich. Vorliegend macht die Beschwerdegegne- rin jedoch ausdrücklich eine Gefährdung des Nachlasses geltend. Es geht darum, das Erbschaftssubstrat zu erhalten, indem überhöhte Lohnbezüge sowie fehlende Mietzins- einnahmen zu Lasten des Nachlasses vermieden werden. Der Willensvollstrecker hat dazu Kraft seiner Kompetenzen die nötigen Vorkehren zu treffen.</w:t>
      </w:r>
    </w:p>
    <w:p>
      <w:r>
        <w:rPr>
          <w:b/>
        </w:rPr>
        <w:t>E. 4.6</w:t>
      </w:r>
    </w:p>
    <w:p>
      <w:r>
        <w:t>Die von der Vorinstanz verfügten Weisungen an den Willensvollstrecker sind daher zu bestätigen. Der Schenkungsanteil fiel bereits mit dem Tod der Erblasserin zeitverzugslos dahin (Art. 252 OR). Der Verwaltungsauftrag ist jederzeit kündbar (Art. 404 OR). Die von der Vorinstanz angeordnete Kündigung des bestehenden Vertragsverhältnisses auf den nächstmöglichen Kündigungstermin ist damit rechtlich zulässig. Dem Willensvollstrecker kommt in seiner Stellung als Vermieter auch das Recht zu, einen unabhängigen Liegen- schaftsverwalter mit der Einforderung eines marktgerechten Mietzinses vom Beschwer- deführer zu beauftragen. Damit ist nicht gesagt, dass der Beschwerdeführer aus seiner Wohnung ausziehen muss, nur hat er keinen Anspruch mehr auf eine Bevorteilung zu Lasten der Beschwerdegegnerin. (...) Hinweis: Der Entscheid ist rechtskräftig</w:t>
      </w:r>
    </w:p>
    <w:p>
      <w:r>
        <w:rPr>
          <w:b/>
        </w:rPr>
        <w:t>E. 5</w:t>
      </w:r>
    </w:p>
    <w:p>
      <w:r>
        <w:t>Der mit Verfügung des Instruktionsrichters vom 17. August 2015 verlangte Kostenvor- schuss von CHF 4‘500.00 wurde fristgerecht bezahlt.</w:t>
      </w:r>
    </w:p>
    <w:p>
      <w:r>
        <w:rPr>
          <w:b/>
        </w:rPr>
        <w:t>E. 6</w:t>
      </w:r>
    </w:p>
    <w:p>
      <w:r>
        <w:t>Auf die form- und fristgerecht eingereichte Beschwerde ist somit einzutreten.</w:t>
      </w:r>
    </w:p>
    <w:p>
      <w:r>
        <w:rPr>
          <w:b/>
        </w:rPr>
        <w:t>E. 7</w:t>
      </w:r>
    </w:p>
    <w:p>
      <w:r>
        <w:t>Der Sachverhalt ist von Amtes wegen abzuklären (Art. 18 VRPG). Neue Tatsachen und Beweismittel können nach Art. 25 VRPG in das Verfahren eingebracht werden, solange weder verfügt noch entschieden noch mit prozessleitender Verfügung das Beweisverfah- ren förmlich geschlossen worden ist. Diese Bestimmung gilt instanzübergreifend auf je- der Verfahrensstufe und damit auch im Beschwerdeverfahren vor dem Obergericht (vgl. MERKLI/AESCHLIMANN/HERZOG, Kommentar zum Gesetz über die Verwaltungsrechts- pflege im Kanton Bern, Bern 1997, N 17 ff. zu Art. 25 VRPG). Das vom Beschwerdeführer oberinstanzlich als neues Beweismittel eingereichte Gutach- ten vom 8. Juli 2015 (Beilage zur Beschwerde vom 13. August 2015) ist daher im Be- schwerdeverfahren zu berücksichtigen. III.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