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145 vom 14. Juli 2011</w:t>
      </w:r>
    </w:p>
    <w:p>
      <w:r>
        <w:t>BE Obergericht, 2011-07-14, DE</w:t>
      </w:r>
    </w:p>
    <w:p>
      <w:r>
        <w:rPr>
          <w:b/>
        </w:rPr>
        <w:t xml:space="preserve">Quelle: </w:t>
      </w:r>
      <w:r>
        <w:t>https://mcp.opencaselaw.ch/entscheid/be_zivilstraf_ZK_2011_145</w:t>
      </w:r>
    </w:p>
    <w:p>
      <w:r>
        <w:t>FR: BE_ZIVILSTRAF ZK 2011 145 du 14 juillet 2011</w:t>
      </w:r>
    </w:p>
    <w:p>
      <w:r>
        <w:t>IT: BE_ZIVILSTRAF ZK 2011 145 del 14 luglio 2011</w:t>
      </w:r>
    </w:p>
    <w:p>
      <w:pPr>
        <w:pStyle w:val="Heading2"/>
      </w:pPr>
      <w:r>
        <w:t>Regeste</w:t>
      </w:r>
    </w:p>
    <w:p>
      <w:r>
        <w:t>Überführung einer Einzelunternehmung in eine neu zu gründende Aktiengesellschaft | Handelsregister/Geschäftsfirmen/kaufmännische Buchführung</w:t>
      </w:r>
    </w:p>
    <w:p>
      <w:pPr>
        <w:pStyle w:val="Heading2"/>
      </w:pPr>
      <w:r>
        <w:t>Erwägungen</w:t>
      </w:r>
    </w:p>
    <w:p>
      <w:r>
        <w:rPr>
          <w:b/>
        </w:rPr>
        <w:t>E. 3</w:t>
      </w:r>
    </w:p>
    <w:p>
      <w:r>
        <w:t>Miet- oder Pachtvertrag Beim Pachtvertrag überlässt der Verpächter dem Pächter eine nutzbare Sache oder ein nutzbares Recht zum Gebrauch und zum Bezug der Früchte oder der Erträgnisse (Art. 275 Abs. 1 OR). Dem Mieter steht dagegen nur der blosse Gebrauch der ihm überlassenen Sache zu (Art. 253 OR), und zwar ohne Rücksicht auf ihre Nutzbarkeit. Gemäss Ziff. 1 des mit Stellungnahme zur Duplik eingereichten Pachtvertrags für das Restaurant Y. überlässt die Verpächterin dem Pächter die Liegenschaft A. sowie die zur Liegenschaft gehörenden Gartenanteile. Obwohl lediglich von einer Überlassung die Rede ist, ergibt sich aus dem Kontext der übrigen Vertragsbestimmungen implizit, dass der Beschwerdeführer X. berechtigt ist, die Sache zu nutzen und die Erträgnisse zu beziehen. So gehen die Vertragsparteien in Ziff. 2 Abs. 4 des Pachtvertrages übereinstimmend von der Führung eines Restaurationsbetriebes aus. Die Kammer schliesst demnach auf das Vorliegen eines Pachtvertrages. Nach Art. 299 Abs. 2 lit. b OR kann der Pächter für Verbesserungen Ersatz fordern, wenn sie sich aus Erneuerungen oder Änderungen ergeben, denen der Verpächter schriftlich zugestimmt hat. Abs. 2 von Art. 299 OR ist grundsätzlich dispositiv: Er gilt nur dann, wenn der Pächter zum Ersten Ersatz fordert und zum Zweiten die Voraussetzungen für diese Forderung auf Ersatzleistung erfüllt sind. Aus dergleichen Ersatzleistungen kann der Pächter zudem im Lichte von Art. 299 Abs. 4 grundsätzlich schon im Voraus gültig verzichten (vgl. HIGI, Kommentar zum Schweizerischen Zivilgesetzbuch, Zürich 2000, N 10 zu Art. 299 OR). Abs. 2 von Art. 299 OR ist relativ zwingend zu Gunsten des Pächters in dem Sinne, dass dieser sich nicht im Voraus zur Leistung von Entschädigungen an den Verpächter verpflichten kann, die mehr als eine Deckung von Schäden beinhalten (vgl. Art. 299 Abs. 4 OR). Demgegenüber ist es ohne weiteres zulässig, die Entschädigung für Erneuerungen und Änderungen im Voraus zu Gunsten des Pächters zu regeln. Diesfalls tritt die vertragliche Regelung an die Stelle der dispositiven Gesetzesbestimmung von Art. 299 Abs. 2 lit. b OR.</w:t>
      </w:r>
    </w:p>
    <w:p>
      <w:r>
        <w:rPr>
          <w:b/>
        </w:rPr>
        <w:t>E. 4</w:t>
      </w:r>
    </w:p>
    <w:p>
      <w:r>
        <w:t>Auflage 2009, § 1 N 375).</w:t>
      </w:r>
    </w:p>
    <w:p>
      <w:r>
        <w:rPr>
          <w:b/>
        </w:rPr>
        <w:t>E. 5</w:t>
      </w:r>
    </w:p>
    <w:p>
      <w:r>
        <w:t>zuschreiben. Wird der Vertrag nach diesem Zeitpunkt beendet, steht dem Pächter folg- lich kein Vergütungsanspruch mehr zu. Auch bei einer Beendigung des Vertragsverhält- nisses vor diesem Zeitpunkt ist der Wert der Sacheinlage zum Bewertungsstichtag (grundsätzlich dem Tag der Anmeldung ins Handelsregister) unbestimmbar: Zwar wur- den Anfangswert und Abschreibungssatz zumindest indirekt festgelegt. Zu vergüten ist indes gemäss Vertrag nicht der Anfangswert gemäss Bauabrechnung bzw. Bankgaran- tie/unwiderruflichem Zahlungsversprechen oder sonst ein Wert zu einem im Voraus be- stimmten Zeitpunkt, sondern ausdrücklich der verbleibende Restwert zum Zeitpunkt der Beendigung des Vertragsverhältnisses. Dieser Restwert hängt logischerweise von der Dauer des Vertragsverhältnisses ab, und die ist bei einem unbefristeten Vertrag immer als ungewiss anzusehen.</w:t>
      </w:r>
    </w:p>
    <w:p>
      <w:r>
        <w:rPr>
          <w:b/>
        </w:rPr>
        <w:t>E. 5.1</w:t>
      </w:r>
    </w:p>
    <w:p>
      <w:r>
        <w:t>Anstelle der dispositiven Gesetzesbestimmung von Art. 299 Abs. 2 lit. b OR sind vorlie- gend die Absätze 5 ff. von Ziffer 2 des Pachtvertrages einschlägig. Sie lauten wie folgt: Für Festinvestitionen, (...), wird ein Abschreibungszeitraum von höchstens 15 Jahren, also bis 31. März 2014 festgelegt. Diese sind dem Pächter, sollte das Pachtverhältnis (...) aufgelöst werden, entsprechend der verbleibenden Restwerte zu vergüten. Der Anfangswert bestimmt sich aus der Bauabrechnung, (...), höchstens aber aus den (...) offe- rierten Kosten, für welche die Bankgarantie oder das unwiderrufliche Zahlungsversprechen vor- liegt. Dieser Anfangswert allein ist für die Berechnung des Restwertes im Sinne dieses Vertrages ver- bindlich.</w:t>
      </w:r>
    </w:p>
    <w:p>
      <w:r>
        <w:rPr>
          <w:b/>
        </w:rPr>
        <w:t>E. 5.2</w:t>
      </w:r>
    </w:p>
    <w:p>
      <w:r>
        <w:t>Im Handelsregister eingetragene Gesellschaften, Kommanditgesellschaften für kollektive Kapitalanlagen, Investmentgesellschaften mit variablem Kapital und im Handelsregister eingetragene Einzelunternehmen können ihr Vermögen oder Teile davon mit Aktiven und Passiven auf andere Rechtsträger des Privatrechts übertragen (Art. 69 Abs. 1 FusG). Der Universalsukzession gemäss Art. 69 FusG zugänglich sind grundsätzlich jede Form von Aktiven und Passiven (vgl. BSK FusG - Malacrida, Art. 69 N 8), mithin auch Forderungen bzw. Schuldverhältnisse i.w.S wie ein Miet- oder Pachtverhältnis. Mit der Forderung gehen grundsätzlich auch deren Vorzugs- und Nebenrechte über (Über- tragungsakzessorietät; vgl. Art. 170 Abs. 1 OR). Das Recht des Pächters auf Restwertvergütung der baulichen Investitionen in das Pachtobjekt ist in Ziff. xx des Pachtvertrages statuiert. Ob dabei von einer bereits existie- renden oder erst künftigen, bei Beendigung des Vertragsverhältnisses entstehenden Forderung auszugehen ist, ist eine Frage technischer Natur und kann letztlich offen ge- lassen werden. Denn jedenfalls ist die entsprechende Berechtigung Teil des Vertrages, nämlich eine vertragliche Nebenleistungspflicht des Verpächters, und geht als solche auf den neu zu gründenden Rechtsträger Y. AG über, sei es nun als eigenständige Forde- rung oder eben als Teil des Pachtverhältnisses an sich. Als Zwischenfazit kann somit festgehalten werden, dass die Übertragbarkeit der Positionen „Umbau Liegenschaft“ und „Garten/Liftanbau“ gegeben ist. Nebst der Übertragbarkeit ist auch die Bewertbarkeit der Sacheinlage erforderlich. Gemäss Pachtvertrag sind die geltend gemachten baulichen Investitionen in einem Ab- schreibungszeitraum von höchstens 15 Jahren, d.h. bis spätestens 31. März 2014, ab-</w:t>
      </w:r>
    </w:p>
    <w:p>
      <w:r>
        <w:rPr>
          <w:b/>
        </w:rPr>
        <w:t>E. 6</w:t>
      </w:r>
    </w:p>
    <w:p>
      <w:r>
        <w:t>Fazit Wenn für die Entschädigungsforderung des Pächters gemäss Pachtvertrag die Restwer- te massgebend sind, so stellt es eine unwahre Tatsache dar, wenn als Sacheinlage die Positionen „Umbau Liegenschaft“ und „Garten/Liftanbau“ gemäss Bilanz vom (...) mit immerhin CHF XXX’XXX.XX aktiviert werden. Ist ein Wertrückgang zwischen dem Stich- tag der Bewertung und dem voraussichtlichen Tag der Eintragung absehbar, so hat die Bewertung mit einer angemessenen Sicherheitsmarge zu erfolgen, der Gründer hat dies zu erläutern, und der Prüfer muss die Angemessenheit bestätigen (vgl. Böckli, a.a.O., § 1 N 401). Eine solche Bestätigung wäre in casu gar nicht möglich, da der Restwert man- gels befristetem Mietverhältnis nicht bestimmbar ist. Korrekterweise müssten die Investi- tionen somit mit CHF 0.00 bewertet werden. Daher geht es nicht an, gemäss Ziffer 1.5 des Gründungsberichts vom (...) den tatsächlichen Wert der Investitionen als Sacheinla- ge geltend zu machen bzw. als sacheinlagefähig zu verbuchen. Daran vermag auch der Nachtrag zum Gründungsbericht vom (...) nichts zu ändern: Massgebend für die Ersatz- forderung ist nicht der Mehrwert der Liegenschaft gemäss Art. 260a Abs. 3 OR, sondern der Restwert gemäss Pachtvertrag. Nach dem Gesagten fehlt es an der Sacheinlagefähigkeit der in der Übernahmebilanz mit insgesamt CHF XXX’XXX.XX aktivierten Positionen „Umbau Liegenschaft“ und „Gar- ten/Liftanbau“. Mangels eines Aktivenüberschusses wird das Aktienkapital der Y. AG mittels Sacheinlagegründung nicht gedeckt. Die Abweisung der Handelsregisteranmel- dung durch die Vorinstanz ist daher auch bei Berücksichtigung von deren lediglich auf Willkür beschränkten Kognition nicht zu beanstanden, was zur Abweisung der Be- schwerde führt. V. [...] Hinweis: Dieser Entscheid ist noch nicht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