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2010 541 vom 27. Juni 2011</w:t>
      </w:r>
    </w:p>
    <w:p>
      <w:r>
        <w:t>BE Obergericht, 2011-06-27, DE</w:t>
      </w:r>
    </w:p>
    <w:p>
      <w:r>
        <w:rPr>
          <w:b/>
        </w:rPr>
        <w:t xml:space="preserve">Quelle: </w:t>
      </w:r>
      <w:r>
        <w:t>https://mcp.opencaselaw.ch/entscheid/be_zivilstraf_ZK_2010_541</w:t>
      </w:r>
    </w:p>
    <w:p>
      <w:r>
        <w:t>FR: BE_ZIVILSTRAF ZK 2010 541 du 27 juin 2011</w:t>
      </w:r>
    </w:p>
    <w:p>
      <w:r>
        <w:t>IT: BE_ZIVILSTRAF ZK 2010 541 del 27 giugno 2011</w:t>
      </w:r>
    </w:p>
    <w:p>
      <w:pPr>
        <w:pStyle w:val="Heading2"/>
      </w:pPr>
      <w:r>
        <w:t>Regeste</w:t>
      </w:r>
    </w:p>
    <w:p>
      <w:r>
        <w:t>Verrechnung der Mietzinskaution mit angeblichen Schadenersatzforderungen aus Mieterschäden bei nicht gesetzeskonformer Hinterlegung | Miete/Pacht</w:t>
      </w:r>
    </w:p>
    <w:p>
      <w:pPr>
        <w:pStyle w:val="Heading2"/>
      </w:pPr>
      <w:r>
        <w:t>Erwägungen</w:t>
      </w:r>
    </w:p>
    <w:p>
      <w:r>
        <w:rPr>
          <w:b/>
        </w:rPr>
        <w:t>E. 1</w:t>
      </w:r>
    </w:p>
    <w:p>
      <w:r>
        <w:t>Wird die Pflicht zur gesetzeskonformen Hinterlegung verletzt, so gibt Art. 257e Abs. 1 OR dem Mieter hierauf einen klagbaren und sofort vollstreckbaren Anspruch gegen den Vermieter. Dieser Anspruch besteht allerdings nur während der Dauer des Miet- verhältnisses. Bei dessen Beendigung wandelt sich die Pflicht des Vermieters zur Hin- terlegung in eine Herausgabe- bzw. Rückerstattungspflicht (HIGI, Zürcher Kommentar, N 30 zu Art. 257e). Im vorliegenden Fall leistete die Appellatin eine Mietzinskaution von CHF 8'100.00, welche der Appellant nicht ordnungsgemäss hinterlegt hat. Das Mietverhältnis war bei Anhebung der Klage beendet. Die Herausgabeklage ist damit grundsätzlich begrün- det.</w:t>
      </w:r>
    </w:p>
    <w:p>
      <w:r>
        <w:rPr>
          <w:b/>
        </w:rPr>
        <w:t>E. 2</w:t>
      </w:r>
    </w:p>
    <w:p>
      <w:r>
        <w:t>Vorab ist zu prüfen, ob der Appellant der Appellatin auf Klage auf Herausgabe der Mietzinskaution überhaupt Verrechnung geltend machen kann, da er die Mietzinskau- tion nicht gesetzeskonform hinterlegt hat.</w:t>
      </w:r>
    </w:p>
    <w:p>
      <w:r>
        <w:t>Die Kammer ist der Auffassung, dass sich die Vermieterschaft, welche die Mietzins- kaution nicht nach Art. 257e Abs. 1 OR bei einer Bank auf den Namen der Mieter- schaft hinterlegt hat, auch nicht auf die diesbezüglich Verrechnungseinrede berufen kann. Vielmehr wird die Vermieterschaft, welche die Mietzinskaution nicht gesetzes- konform hinterlegt hat, im Sinne von Art. 481 OR Aufbewahrerin. Gestützt auf Art. 125 Ziff. 1 OR kann sie deshalb die Pflicht zur Rückerstattung ohne Zustimmung oder ge- gen den Willen der Mieterschaft (Hinterleger) nicht durch Verrechnung untergehen lassen (vgl. hierzu Bezirksgericht Kreuzlingen in Mietrechtspraxis (mp) 3/97 S. 150 ff., Entscheid der Chambre d’appel en matière de baux et loyers GE vom 10.04.2000 in Mietrecht Aktuell (MRA), 2001, S. 9 ff.; Urteil des Appellationsgerichts des Kantons Basel-Stadt vom 07.07.2009 E. 3.4.5.). Zwischenfazit: Dem Appellant steht die Verrechnungseinrede nicht zu.</w:t>
      </w:r>
    </w:p>
    <w:p>
      <w:r>
        <w:rPr>
          <w:b/>
        </w:rPr>
        <w:t>E. 3</w:t>
      </w:r>
    </w:p>
    <w:p>
      <w:r>
        <w:t>Selbst wenn man dieser Ansicht nicht folgen wollte, hat der Appellant mangels recht- zeitiger und substantiierter Mängelrüge keinen Anspruch auf Schadenersatz. (...) VI. Kosten (...) Hinweis: Das Urteil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