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2025 368 vom 12. Mai 2025</w:t>
      </w:r>
    </w:p>
    <w:p>
      <w:r>
        <w:t>BE Obergericht, 2025-05-12, FR</w:t>
      </w:r>
    </w:p>
    <w:p>
      <w:r>
        <w:rPr>
          <w:b/>
        </w:rPr>
        <w:t xml:space="preserve">Quelle: </w:t>
      </w:r>
      <w:r>
        <w:t>https://mcp.opencaselaw.ch/entscheid/be_zivilstraf_SK_2025_368</w:t>
      </w:r>
    </w:p>
    <w:p>
      <w:r>
        <w:t>FR: BE_ZIVILSTRAF SK 2025 368 du 12 mai 2025</w:t>
      </w:r>
    </w:p>
    <w:p>
      <w:r>
        <w:t>IT: BE_ZIVILSTRAF SK 2025 368 del 12 maggio 2025</w:t>
      </w:r>
    </w:p>
    <w:p>
      <w:pPr>
        <w:pStyle w:val="Heading2"/>
      </w:pPr>
      <w:r>
        <w:t>Regeste</w:t>
      </w:r>
    </w:p>
    <w:p>
      <w:r>
        <w:t>Requête de remise de frais | Prozessrecht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Direction de la procédure 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