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39 vom 10. März 2025</w:t>
      </w:r>
    </w:p>
    <w:p>
      <w:r>
        <w:t>BE Obergericht, 2025-03-10, DE</w:t>
      </w:r>
    </w:p>
    <w:p>
      <w:r>
        <w:rPr>
          <w:b/>
        </w:rPr>
        <w:t xml:space="preserve">Quelle: </w:t>
      </w:r>
      <w:r>
        <w:t>https://mcp.opencaselaw.ch/entscheid/be_zivilstraf_SK_2024_39</w:t>
      </w:r>
    </w:p>
    <w:p>
      <w:r>
        <w:t>FR: BE_ZIVILSTRAF SK 2024 39 du 10 mars 2025</w:t>
      </w:r>
    </w:p>
    <w:p>
      <w:r>
        <w:t>IT: BE_ZIVILSTRAF SK 2024 39 del 10 marzo 2025</w:t>
      </w:r>
    </w:p>
    <w:p>
      <w:pPr>
        <w:pStyle w:val="Heading2"/>
      </w:pPr>
      <w:r>
        <w:t>Regeste</w:t>
      </w:r>
    </w:p>
    <w:p>
      <w:r>
        <w:t>qualifizierte Vergewaltigung, qualifizierte sexuelle Nötigung, Schändung, ambulante Massnahme | Strafgesetz</w:t>
      </w:r>
    </w:p>
    <w:p>
      <w:pPr>
        <w:pStyle w:val="Heading2"/>
      </w:pPr>
      <w:r>
        <w:t>Erwägungen</w:t>
      </w:r>
    </w:p>
    <w:p>
      <w:r>
        <w:rPr>
          <w:b/>
        </w:rPr>
        <w:t>E. 1</w:t>
      </w:r>
    </w:p>
    <w:p>
      <w:r>
        <w:t>der qualifizierten Vergewaltigung, begangen am 28.03.2021, um ca. 03:45 - 04:25 Uhr, in H.________ (Ortschaft), beim Parkplatz des Restaurants J.________, z.N. von E.________ (Ziff. 2 AKS);</w:t>
      </w:r>
    </w:p>
    <w:p>
      <w:r>
        <w:rPr>
          <w:b/>
        </w:rPr>
        <w:t>E. 2</w:t>
      </w:r>
    </w:p>
    <w:p>
      <w:r>
        <w:t>der qualifizierten sexuellen Nötigung, mehrfach begangen am 28.03.2021, um ca. 03:45 - 04:25 Uhr, in H.________ (Ortschaft), beim Parkplatz des Restaurants J.________, z.N. von E.________ (Ziff. 3 AKS);</w:t>
      </w:r>
    </w:p>
    <w:p>
      <w:r>
        <w:rPr>
          <w:b/>
        </w:rPr>
        <w:t>E. 3</w:t>
      </w:r>
    </w:p>
    <w:p>
      <w:r>
        <w:t>der Gefährdung des Lebens, begangen am 28.03.2021, um ca. 03:45 - 04:25 Uhr, in H.________ (Ortschaft), beim Parkplatz des Restaurants J.________, z.N. von E.________ (Ziff. 4 AKS);</w:t>
      </w:r>
    </w:p>
    <w:p>
      <w:r>
        <w:rPr>
          <w:b/>
        </w:rPr>
        <w:t>E. 4</w:t>
      </w:r>
    </w:p>
    <w:p>
      <w:r>
        <w:t>des Hausfriedensbruchs, begangen am 28.05.2018, um ca. 03:30 Uhr, I.________ (Ortschaft), z.N. von C.________ (Ziff. 6 AKS);</w:t>
      </w:r>
    </w:p>
    <w:p>
      <w:r>
        <w:rPr>
          <w:b/>
        </w:rPr>
        <w:t>E. 5</w:t>
      </w:r>
    </w:p>
    <w:p>
      <w:r>
        <w:t>der Pornografie begangen am 28.03.2021 und in der Zeit davor vom 02.01.2021 bis zum 10.03.2021 (Ziff. 7 AKS);</w:t>
      </w:r>
    </w:p>
    <w:p>
      <w:r>
        <w:t>4 und in Anwendung der Art. 190 Abs. 1 und 3 StGB (Ziff. 1 hiervor) Art. 189 Abs. 1 und 2 StGB (Ziff. 2 hiervor) Art. 129 StGB (Ziff. 3 hiervor) Art. 186 StGB (Ziff. 4 hiervor) Art. 197 Abs. 4 StGB (Ziff. 5 hiervor) Art. 40, 41 Abs. 1 Bst. a und b, 47, 49 Abs. 1, 51, 63, 66a Abs. 1 Bst. b und h StGB, Art. 426 Abs. ff. StPO verurteilt: 1. Zu einer Freiheitsstrafe von 7 Jahren und 9 Monaten. Die Polizei-, Untersuchungs- und Sicherheitshaft vom 11.06.2020 (1 Tag) sowie vom 28.03.2021 bis am 11.05.2022 (410 Tage) werden im Umfang von 411 Tagen auf die Freiheitsstrafe ange- rechnet und es wird festgestellt, dass die Strafe am 12.05.2022 vorzeitig angetreten worden ist. Es wird eine ambulante therapeutische Behandlung nach Art. 63 StGB angeordnet. 2. Zu einer Landesverweisung von 10 Jahren. 3. Zu den auf den Schuldspruch entfallenden Verfahrenskosten von ½ (werden mit separater Verfügung betragsmässig festgesetzt).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