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128 vom 10. Dezember 2024</w:t>
      </w:r>
    </w:p>
    <w:p>
      <w:r>
        <w:t>BE Obergericht, 2024-12-10, DE</w:t>
      </w:r>
    </w:p>
    <w:p>
      <w:r>
        <w:rPr>
          <w:b/>
        </w:rPr>
        <w:t xml:space="preserve">Quelle: </w:t>
      </w:r>
      <w:r>
        <w:t>https://mcp.opencaselaw.ch/entscheid/be_zivilstraf_SK_2024_128</w:t>
      </w:r>
    </w:p>
    <w:p>
      <w:r>
        <w:t>FR: BE_ZIVILSTRAF SK 2024 128 du 10 décembre 2024</w:t>
      </w:r>
    </w:p>
    <w:p>
      <w:r>
        <w:t>IT: BE_ZIVILSTRAF SK 2024 128 del 10 dicembre 2024</w:t>
      </w:r>
    </w:p>
    <w:p>
      <w:pPr>
        <w:pStyle w:val="Heading2"/>
      </w:pPr>
      <w:r>
        <w:t>Regeste</w:t>
      </w:r>
    </w:p>
    <w:p>
      <w:r>
        <w:t>gewerbsmässiger Diebstahl, mehrfacher Hausfriedensbruch, Sachbeschädigung etc. | Strafgesetz</w:t>
      </w:r>
    </w:p>
    <w:p>
      <w:pPr>
        <w:pStyle w:val="Heading2"/>
      </w:pPr>
      <w:r>
        <w:t>Erwägungen</w:t>
      </w:r>
    </w:p>
    <w:p>
      <w:r>
        <w:rPr>
          <w:b/>
        </w:rPr>
        <w:t>E. 1</w:t>
      </w:r>
    </w:p>
    <w:p>
      <w:r>
        <w:t>Erstinstanzliches Urteil Das Regionalgericht Berner Jura-Seeland (Einzelgericht; nachfolgend Vorinstanz) sprach A.________ (nachfolgend Beschuldigter) mit Urteil vom 10. November 2023 ohne Ausrichtung einer Entschädigung und ohne Ausscheidung von Verfahrens- kosten von der Anschuldigung des Diebstahls frei (pag. 1120, Ziff. I. erstinstanzli- ches Urteil). Hingegen erklärte die Vorinstanz den Beschuldigten des gewerbsmässigen Dieb- stahls, des mehrfachen Hausfriedensbruchs, der Sachbeschädigung, des betrüge- rischen Missbrauchs einer Datenverarbeitungsanlage, der Hehlerei, teilweise ver- sucht begangen, sowie der Widerhandlung gegen das Betäubungsmittelgesetz (Konsum) schuldig. Sie verurteilte ihn zu einer Freiheitsstrafe von 13 Monaten, un- ter Gewährung des bedingten Strafvollzugs mit einer Probezeit von 3 Jahren und unter Anrechnung der ausgestandenen Untersuchungs- und Sicherheitshaft von 246 Tagen, zu einer Übertretungsbusse von CHF 500.00, zu einer Landesverwei- sung von 5 Jahren sowie zu den gesamten erstinstanzlichen Verfahrenskosten von CHF 13'221.90 (pag. 1120 ff., Ziff. II. erstinstanzliches Urteil). Im Zivilpunkt verurteilte die Vorinstanz den Beschuldigten zur Bezahlung von Schadenersatz an mehrere Privatkläger/innen und traf weitere Verfügungen (pag. 1123 f., Ziff. IV. erstinstanzliches Urteil).</w:t>
      </w:r>
    </w:p>
    <w:p>
      <w:r>
        <w:rPr>
          <w:b/>
        </w:rPr>
        <w:t>E. 2</w:t>
      </w:r>
    </w:p>
    <w:p>
      <w:r>
        <w:t>Berufung Gegen dieses Urteil meldeten der Beschuldigte, verteidigt durch Rechtsanwalt B.________, mit Schreiben vom 17. November 2023 (pag. 1142) und die Regiona- le Staatsanwaltschaft Berner Jura-Seeland mit Schreiben vom 20. November 2023 (pag. 1144) fristgerecht Berufung an. Nach Zustellung der schriftlichen Urteilsbe- gründung mit Verfügung vom 7. März 2024 (pag. 1226 f.) erklärte die General- staatsanwaltschaft mit Eingabe vom 26. März 2024 form- und fristgerecht die Beru- fung, beschränkt auf die Strafzumessung und die Dauer der Landesverweisung (pag. 1243 ff.). Der Beschuldigte erklärte mit Eingabe vom 27. März 2024 ebenfalls form- und fristgerecht die Berufung, beschränkt auf die Verurteilung zu einer Lan- desverweisung von fünf Jahren (pag. 1246 f.). Gestützt auf die Verfügung vom 28. März 2024 (pag. 1249 ff.) teilte die General- staatsanwaltschaft mit Schreiben vom 3. April 2024 mit, sie beantrage kein Nicht- eintreten auf die Berufung des Beschuldigten (pag. 1260 f.). Der Beschuldigte ver- zichtete mit Schreiben vom 22. April 2024 aufgrund der selbstständigen Berufung auf die Erklärung einer Anschlussberufung und beantragte kein Nichteintreten auf die Berufung der Generalstaatsanwaltschaft (pag. 1266). Die Straf- und Zivilklä- ger/innen 1-5 sowie die Zivilklägerinnen 1-3 liessen sich innert Frist nicht verneh- men (vgl. pag. 1269). Nach allseitiger Gewährung des rechtlichen Gehörs stellte die Kammer mit Beschluss vom 30. September 2024 die Rechtskraft einzelner</w:t>
      </w:r>
    </w:p>
    <w:p>
      <w:r>
        <w:rPr>
          <w:b/>
        </w:rPr>
        <w:t>E. 3</w:t>
      </w:r>
    </w:p>
    <w:p>
      <w:r>
        <w:t>Oberinstanzliche Beweisergänzungen Von Amtes wegen wurde oberinstanzlich ein aktueller Strafregisterauszug (pag. 1406 f.), ein aktueller Betreibungsregisterauszug (pag. 1317 ff.), eine Bestäti- gung über den aktuellen und vergangenen Sozialhilfebezug bei der Abteilung Sozi- ales der Stadt C.________ (pag. 1381 ff.) und im Hinblick auf die Prüfung der straf- rechtlichen Landesverweisung ein Bericht des Staatssekretariats für Migration SEM (pag. 1324 f.) sowie ein Bericht des Migrationsdienstes der Stadt C.________ (pag. 1330 f.) eingeholt (vgl. pag. 1298). Ein aktueller Leumundsbericht inkl. Bericht über die wirtschaftlichen Verhältnisse des Beschuldigten konnte nicht eingeholt werden, zumal er am 3. November 2024 und damit kurz vor der oberinstanzlichen Verhandlung in einem anderen Verfahren erneut in Untersuchungshaft genommen wurde. Auf die Einholung eines Führungsberichts des Regionalgefängnisses C.________ wurde verzichtet. Schliesslich wurden bei der Regionalen Staatsan- waltschaft Berner Jura-Seeland die Akten ________ (5 Dossiers à total 87 Seiten) und ________ ediert. Der Beschuldigte wurde an der oberinstanzlichen Verhandlung aus dem Gefängnis zugeführt und unter Beizug einer Deutsch-Bulgarisch-Übersetzerin ergänzend ein- vernommen (pag. 1414 ff.). Rechtsanwalt B.________ reichte an der oberinstanzli- chen Verhandlung zudem diverse medizinische Berichte im Zusammenhang mit ei- nem Fahrradunfall und eines daraus folgenden Beinbruchs des Beschuldigten ein, die von der Kammer zu den Akten erkannt wurden (pag. 1412 f. und pag. 1429 ff.).</w:t>
      </w:r>
    </w:p>
    <w:p>
      <w:r>
        <w:rPr>
          <w:b/>
        </w:rPr>
        <w:t>E. 4</w:t>
      </w:r>
    </w:p>
    <w:p>
      <w:r>
        <w:t>Anträge der Parteien Rechtsanwalt B.________ stellte und begründete an der oberinstanzlichen Ver- handlung namens des Beschuldigten folgende Anträge (pag. 1442): I. Es sei festzustellen, dass das Urteil der Vorinstanz betreffend den Freispruch und die Schuld- sprüche (Ziff. I sowie Ziff. II.1.-II.6.) in Rechtskraft erwachsen ist. II. A.________ sei in Anwendung der massgeblichen 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