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112 vom 23. Oktober 2024</w:t>
      </w:r>
    </w:p>
    <w:p>
      <w:r>
        <w:t>BE Obergericht, 2024-10-23, DE</w:t>
      </w:r>
    </w:p>
    <w:p>
      <w:r>
        <w:rPr>
          <w:b/>
        </w:rPr>
        <w:t xml:space="preserve">Quelle: </w:t>
      </w:r>
      <w:r>
        <w:t>https://mcp.opencaselaw.ch/entscheid/be_zivilstraf_SK_2024_112</w:t>
      </w:r>
    </w:p>
    <w:p>
      <w:r>
        <w:t>FR: BE_ZIVILSTRAF SK 2024 112 du 23 octobre 2024</w:t>
      </w:r>
    </w:p>
    <w:p>
      <w:r>
        <w:t>IT: BE_ZIVILSTRAF SK 2024 112 del 23 ottobre 2024</w:t>
      </w:r>
    </w:p>
    <w:p>
      <w:pPr>
        <w:pStyle w:val="Heading2"/>
      </w:pPr>
      <w:r>
        <w:t>Regeste</w:t>
      </w:r>
    </w:p>
    <w:p>
      <w:r>
        <w:t>Widerhandlung gegen das Strassenverkehrsgesetz | Strassenverkehr</w:t>
      </w:r>
    </w:p>
    <w:p>
      <w:pPr>
        <w:pStyle w:val="Heading2"/>
      </w:pPr>
      <w:r>
        <w:t>Erwägungen</w:t>
      </w:r>
    </w:p>
    <w:p>
      <w:r>
        <w:rPr>
          <w:b/>
        </w:rPr>
        <w:t>E. 1</w:t>
      </w:r>
    </w:p>
    <w:p>
      <w:r>
        <w:t>Erstinstanzliches Urteil Das Regionalgericht Bern-Mittelland (Einzelgericht; nachfolgend: Vorinstanz) fällte am 1. November 2023 über A.________ (nachfolgend: Beschuldigter) folgendes Urteil (pag. 377 ff.; Hervorhebungen im Original, Auslassungen in eckigen Klam- mern): I. A.________ wird schuldig erklärt: der groben Verkehrsregelverletzung, qualifiziert begangen im Sommer 2019 auf den Strecken C.________(Ort), D.________(Ort) Richtung E.________(Ort) und E.________(Ort) Richtung F.________ (Ort), durch Überschreiten der Höchstgeschwindigkeit, Nichtanpassen der Geschwindig- keit an die Strecken- und Sichtverhältnisse und Verletzung des Rechtsfahrgebots und in Anwendung der Art. 40, 42, 44, 47 StGB, Art. 32, 34 Abs. 1, 90 Abs. 3, 3ter SVG, Art. 426 ff.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