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2024 106 vom 27. Mai 2025</w:t>
      </w:r>
    </w:p>
    <w:p>
      <w:r>
        <w:t>BE Obergericht, 2025-05-27, DE</w:t>
      </w:r>
    </w:p>
    <w:p>
      <w:r>
        <w:rPr>
          <w:b/>
        </w:rPr>
        <w:t xml:space="preserve">Quelle: </w:t>
      </w:r>
      <w:r>
        <w:t>https://mcp.opencaselaw.ch/entscheid/be_zivilstraf_SK_2024_106</w:t>
      </w:r>
    </w:p>
    <w:p>
      <w:r>
        <w:t>FR: BE_ZIVILSTRAF SK 2024 106 du 27 mai 2025</w:t>
      </w:r>
    </w:p>
    <w:p>
      <w:r>
        <w:t>IT: BE_ZIVILSTRAF SK 2024 106 del 27 maggio 2025</w:t>
      </w:r>
    </w:p>
    <w:p>
      <w:pPr>
        <w:pStyle w:val="Heading2"/>
      </w:pPr>
      <w:r>
        <w:t>Regeste</w:t>
      </w:r>
    </w:p>
    <w:p>
      <w:r>
        <w:t>Strafzumessung sexuelle Nötigung, sexuelle Handlungen mit Kindern, Pornografie udn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Vorbemerkungen Hinsichtlich des Geschlechts der vorliegend beschuldigten resp. verurteilten Person wird vorab auf die treffenden Ausführungen des Regionalgerichts Emmental- Oberaargau (Kollegialgericht; nachfolgend: Vorinstanz) verwiesen, welche sich die Kammer zu eigen macht (S. 3 der vorinstanzlichen Urteilsbegründung, pag. 782): Im Zeitpunkt der Einreichung der Strafanzeige und der damit einhergehenden Verfahrenseröffnung sowie während des gesamten Vorverfahrens lebte die Beschuldigte A.________ unter dem Namen D.________ als Mann. Mit Datum vom 05.09.2023 liess A.________ eine Änderung im Zivilstandsre- gister vornehmen und ist seither dem weiblichen Geschlecht zugehörig. Aus Gründen der Übersicht- lichkeit sowie zwecks Vermeidung von Wiederholungen wird für die beschuldigte Person in der nach- folgenden Urteilsbegründung durchgehend die weibliche Form verwendet und damit auf den seit 05.09.2023 geltenden Geschlechtseintrag der Beschuldigten abgestellt.</w:t>
      </w:r>
    </w:p>
    <w:p>
      <w:r>
        <w:rPr>
          <w:b/>
        </w:rPr>
        <w:t>E. 2</w:t>
      </w:r>
    </w:p>
    <w:p>
      <w:r>
        <w:t>Erstinstanzliches Urteil Die Vorinstanz fällte am 7. September 2023 über A.________ (nachfolgend Be- schuldigte) folgendes Urteil (pag. 725 ff.; Auszug aus dem erst-instanzlichen Dispositiv, soweit die Beschuldigte betreffend; Hervorhebungen im Original): A.________ I. A.________ wird freigesprochen: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