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576 vom 29. August 2024</w:t>
      </w:r>
    </w:p>
    <w:p>
      <w:r>
        <w:t>BE Obergericht, 2024-08-29, DE</w:t>
      </w:r>
    </w:p>
    <w:p>
      <w:r>
        <w:rPr>
          <w:b/>
        </w:rPr>
        <w:t xml:space="preserve">Quelle: </w:t>
      </w:r>
      <w:r>
        <w:t>https://mcp.opencaselaw.ch/entscheid/be_zivilstraf_SK_2023_576</w:t>
      </w:r>
    </w:p>
    <w:p>
      <w:r>
        <w:t>FR: BE_ZIVILSTRAF SK 2023 576 du 29 août 2024</w:t>
      </w:r>
    </w:p>
    <w:p>
      <w:r>
        <w:t>IT: BE_ZIVILSTRAF SK 2023 576 del 29 agosto 2024</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29. Juni 2023 sprach das Regionalgericht Bern-Mittelland (nachfol- gend: Vorinstanz) A.________ (nachfolgend: Beschuldigter) von der Anschuldigung der Widerhandlung gegen das Strassenverkehrsgesetz (SVG; SR 741.01) durch einfache Verkehrsregelverletzung frei, unter Ausrichtung einer anteilsmässigen Entschädigung für die angemessene Ausübung seiner Verfahrensrechte und unter Auferlegung der hälftigen Verfahrenskosten an den Kanton Bern. Gleichzeitig sprach sie den Beschuldigten schuldig der Widerhandlung gegen das Strassenver- kehrsgesetz durch pflichtwidriges Verhalten nach Unfall und verurteilte ihn zu einer Übertretungsbusse von CHF 200.00 (Ersatzfreiheitsstrafe bei schuldhafter Nichtbe- zahlung 2 Tage) sowie zur Bezahlung der hälftigen Verfahrenskosten (pag. 103 ff.).</w:t>
      </w:r>
    </w:p>
    <w:p>
      <w:r>
        <w:rPr>
          <w:b/>
        </w:rPr>
        <w:t>E. 2</w:t>
      </w:r>
    </w:p>
    <w:p>
      <w:r>
        <w:t>Berufung und schriftliches Verfahren Gegen dieses Urteil meldete der Beschuldigte am 10. Juli 2023 fristgerecht Beru- fung an (pag. 111). Die erstinstanzliche Urteilsbegründung mit Urteilsberichtigung betreffend die Höhe der dem Beschuldigten für die Ausübung seiner Verfahrens- rechte auszurichtenden Entschädigung datiert vom 26. Juli 2023 (pag. 117 ff.) und wurde den Parteien mit Verfügung vom 12. Dezember 2023 zugestellt (pag 133 f.). Mit Berufungserklärung vom 3. Januar 2024 focht der Beschuldigte das erstinstanz- liche Urteil teilweise an (pag. 137 ff.). Die Generalstaatsanwaltschaft verzichtete mit Eingabe vom 15. Januar 2024 auf eine Teilnahme am oberinstanzlichen Verfahren (pag. 144 f.) Mit Verfügung vom 17. Januar 2024 wurde das schriftliche Verfahren angeordnet (vgl. Art. 406 der Schweizerischen Strafprozessordnung [StPO; SR 312.0]) und dem Beschuldigten Frist zur Einreichung einer schriftlichen Berufungsbegründung gesetzt (pag. 146 f.). Die Berufungsbegründung vom 14. Februar 2024 (pag. 149 ff.) erfolgte fristgerecht. Mit Verfügung vom 16. Februar 2024 wurde der schriftliche Entscheid in Aussicht gestellt sowie die Kammerzusammensetzung be- kanntgegeben (pag. 157 f.).</w:t>
      </w:r>
    </w:p>
    <w:p>
      <w:r>
        <w:rPr>
          <w:b/>
        </w:rPr>
        <w:t>E. 3</w:t>
      </w:r>
    </w:p>
    <w:p>
      <w:r>
        <w:t>Oberinstanzliche Beweisergänzungen Oberinstanzlich wurde von Amtes wegen ein Strafregisterauszug über den Be- schuldigten, datierend vom 17. Juli 2024, eingeholt (pag. 159).</w:t>
      </w:r>
    </w:p>
    <w:p>
      <w:r>
        <w:rPr>
          <w:b/>
        </w:rPr>
        <w:t>E. 4</w:t>
      </w:r>
    </w:p>
    <w:p>
      <w:r>
        <w:t>Anträge des Beschuldigten Der Beschuldigte stellte in der Berufungsbegründung folgende Anträge (pag.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