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487 vom 8. Oktober 2024</w:t>
      </w:r>
    </w:p>
    <w:p>
      <w:r>
        <w:t>BE Obergericht, 2024-10-08, DE</w:t>
      </w:r>
    </w:p>
    <w:p>
      <w:r>
        <w:rPr>
          <w:b/>
        </w:rPr>
        <w:t xml:space="preserve">Quelle: </w:t>
      </w:r>
      <w:r>
        <w:t>https://mcp.opencaselaw.ch/entscheid/be_zivilstraf_SK_2023_487</w:t>
      </w:r>
    </w:p>
    <w:p>
      <w:r>
        <w:t>FR: BE_ZIVILSTRAF SK 2023 487 du 8 octobre 2024</w:t>
      </w:r>
    </w:p>
    <w:p>
      <w:r>
        <w:t>IT: BE_ZIVILSTRAF SK 2023 487 del 8 ottobre 2024</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27. September 2023 wurde der Beschuldigte und Berufungsführer A.________ (nachfolgend Beschuldigter) vom Regionalgericht Emmental- Oberaargau (Einzelgericht, nachfolgend Vorinstanz) der einfachen Verkehrsregel- verletzung, begangen am 16. April 2022 in B.________ durch Überschreiten der allgemeinen, signalisierten Höchstgeschwindigkeit nach Abzug der vom ASTRA festgelegten Geräte- und Messunsicherheit innerorts von 4 km/h, schuldig erklärt. Die Vorinstanz verurteilte den Beschuldigten in Anwendung der einschlägigen Ge- setzesbestimmungen zu einer Übertretungsbusse von CHF 40.00, unter Festset- zung der Ersatzfreiheitsstrafe bei schuldhafter Nichtbezahlung auf einen Tag, so- wie zur Bezahlung der erstinstanzlichen Verfahrenskosten von insgesamt CHF 1'600.00 (Ziff. I. des erstinstanzlichen Urteilsdispositivs, pag. 171 f.).</w:t>
      </w:r>
    </w:p>
    <w:p>
      <w:r>
        <w:rPr>
          <w:b/>
        </w:rPr>
        <w:t>E. 2</w:t>
      </w:r>
    </w:p>
    <w:p>
      <w:r>
        <w:t>Berufung Gegen dieses Urteil meldete der Beschuldigte mit undatierter Eingabe, eingegan- gen bei der Vorinstanz am 9. Oktober 2023, fristgerecht Berufung an (pag. 176). Die Berufungserklärung datiert vom 10. November 2023 und langte frist- und form- gerecht beim Obergericht des Kantons Bern ein (pag. 201 ff.). Die Generalstaatsanwaltschaft verzichtete mit Schreiben vom 21. November 2023 auf die Teilnahme am oberinstanzlichen Verfahren (pag. 223).</w:t>
      </w:r>
    </w:p>
    <w:p>
      <w:r>
        <w:rPr>
          <w:b/>
        </w:rPr>
        <w:t>E. 3</w:t>
      </w:r>
    </w:p>
    <w:p>
      <w:r>
        <w:t>Die Kammer verzichtete im oberinstanzlichen Verfahren auf das Erheben von wei- teren Beweisergänzungen und auch der Beschuldigte stellte im Rahmen seiner Be- rufungserklärung keine Beweisergänzungsanträge mehr.</w:t>
      </w:r>
    </w:p>
    <w:p>
      <w:r>
        <w:rPr>
          <w:b/>
        </w:rPr>
        <w:t>E. 4</w:t>
      </w:r>
    </w:p>
    <w:p>
      <w:r>
        <w:t>Anträge des Beschuldigten Mit Berufungserklärung vom 10. November 2023 beantragte der Beschuldigte die vollständige Aufhebung des erstinstanzlichen Urteils, unter Vorbehalt von dessen Gültigkeit (pag. 201).</w:t>
      </w:r>
    </w:p>
    <w:p>
      <w:r>
        <w:rPr>
          <w:b/>
        </w:rPr>
        <w:t>E. 5</w:t>
      </w:r>
    </w:p>
    <w:p>
      <w:r>
        <w:t>Verfahrensgegenstand und Kognition der Kammer Das Berufungsgericht überprüft das erstinstanzliche Urteil nur in den angefochte- nen Punkten (Art. 404 Abs. 1 StPO). Gestützt auf den Antrag des Beschuldigten auf vollständige Aufhebung des erstin- stanzlichen Urteils ist dieses vollumfänglich angefochten und durch die Kammer gesamthaft zu überprüfen. Da ausschliesslich eine Übertretung Gegenstand des erstinstanzlichen Verfahrens bildete, kann mit der Berufung nur geltend gemacht werden, das Urteil sei rechts- fehlerhaft oder die Feststellung des Sachverhalts sei offensichtlich unrichtig oder beruhe auf einer Rechtsverletzung. Neue Behauptungen und Beweise können aus- serdem nicht vorgebracht werden (Art. 398 Abs. 4 StPO). Die Kognition der Kam- mer ist insofern beschränkt. Soweit die Beweiswürdigung bzw. die Feststellung des Sachverhalts gerügt werden, beschränkt sich die vorliegende Überprüfung auf of- fensichtliche Unrichtigkeit (Urteil des Bundesgerichts 6B_362/2012 vom 29. Okto- ber 2012 E. 5.2). Es ist zu überprüfen, ob das vorinstanzliche Urteil auf Rechtsfeh- lern beruht. Darunter fallen Überschreitung und Missbrauch des Ermessens, Rechtsverweigerung und Rechtsverzögerung, jedoch nicht Unangemessenheit, d.h. Ermessensfehler i.S.v. Art. 398 Abs. 3 Bst. c StPO (SCHMID, StPO Praxiskom- mentar, 4. Aufl. 2023, N 12 zu Art. 398). Ferner ist zu prüfen, ob der Sachverhalt offensichtlich unrichtig festgestellt wurde und ob die Sachverhaltsfeststellung auf Rechtsverletzungen beruht. Offensichtlich unrichtig ist eine Sachverhaltsfeststel- lung, wenn sie willkürlich ist (vgl. BGE 137 IV 1 E. 4.2.3; BGE 134 IV 36 E. 1.4.1). Nach ständiger Praxis des Bundesgerichts liegt Willkür in der Rechtsanwendung vor, wenn der angefochtene Entscheid offensichtlich unhaltbar ist, mit der tatsächli- chen Situation in klarem Widerspruch steht, eine Norm oder einen unumstrittenen Rechtsgrundsatz krass verletzt oder in stossender Weise dem Gerechtigkeitsge- danken zuwiderläuft (BGE 140 III 167 E. 2.1). Eine willkürliche Beweiswürdigung im Sinne von Art. 9 BV liegt dann vor, wenn das Sachgericht sein Ermessen miss- braucht, indem es zum Beispiel offensichtlich unhaltbare Schlüsse zieht, erhebliche Beweise übersieht oder solche willkürlich ausser Acht lässt. Willkür liegt dagegen nicht schon dann vor, wenn eine andere Lösung ebenfalls vertretbar erscheint oder gar vorzuziehen wäre (vgl. Urteile des Bundesgerichts 4A_521/2008 vom 26. Fe- bruar 2009 E. 3.2 und 6B_957/2015 vom 11. Dezember 2015 E. 3). Eine Sachver- haltsermittlung ist insbesondere nicht schon dann offensichtlich unrichtig, wenn sich Zweifel anmelden, sondern erst, wenn sie eindeutig und augenfällig unzutref- fend ist (BGE 132 I 42 E. 3.1). Erforderlich ist also ein qualifizierter Mangel, ein kla-</w:t>
      </w:r>
    </w:p>
    <w:p>
      <w:r>
        <w:t>4 res Abweichen der tatsächlichen Gegebenheiten von der Sachverhaltsfeststellung im angefochtenen Entscheid (vgl. SCHOTT, in: Basler Kommentar, Bundesgerichts- gesetz (BGG), 3. Aufl. 2018, N 9 zu Art. 97). Das erstinstanzliche Urteil wurde nur vom Beschuldigten angefochten. Gestützt auf Art. 391 Abs. 2 StPO ist die Kammer deshalb an das Verschlechterungsverbot ge- bunden und darf das angefochtene Urteil nicht zu seinen Ungunsten abändern. II. Formelle Rügen des Beschuldigten</w:t>
      </w:r>
    </w:p>
    <w:p>
      <w:r>
        <w:rPr>
          <w:b/>
        </w:rPr>
        <w:t>E. 6</w:t>
      </w:r>
    </w:p>
    <w:p>
      <w:r>
        <w:t>Ausstandsgesuch Mit Berufungserklärung vom 10. November 2023 stellte der Beschuldigte ein Ausstandsgesuch gegen «alle Richter/-innen, Gerichtssekretäre/-innen und Ge- richtsschreiber/-innen […], die über die Hälfte ihres Erwerbseinkommens direkt oder indirekt durch den Kanton Bern bezahlt erhalten» (pag. 201 f.). Dieses Ge- such wurde mit Beschluss vom 22. November 2023 abgewiesen. Für die Begrün- dung wird auf die Erwägungen im Beschluss verwiesen (pag. 224 ff.).</w:t>
      </w:r>
    </w:p>
    <w:p>
      <w:r>
        <w:rPr>
          <w:b/>
        </w:rPr>
        <w:t>E. 7</w:t>
      </w:r>
    </w:p>
    <w:p>
      <w:r>
        <w:t>Auch in rechtlicher Hinsicht sind der Berufungserklärung des Beschuldigten keine konkreten Einwände gegen die erstinstanzliche Urteilsbegründung zu entnehmen, weshalb vollumfänglich auf die nach Überzeugung der Kammer korrekten Aus- führungen der Vorinstanz verwiesen werden kann (pag. 190 f., S. 7 f, der erstin- stanzlichen Urteilsbegründung): 1. Einfache Verkehrsregelverletzung Wer Verkehrsregeln des Strassenverkehrsgesetzes (SVG) verletzt, macht sich der einfachen Ver- kehrsregelverletzung gemäss Art. 90 Abs. 1 SVG schuldig und wird mit Busse bestraft. Zu den Ver- kehrsregeln im Sinne von Art. 90 SVG zählen grundsätzlich die im III. Teil des Gesetzes (Art. 26-57 SVG) enthaltenen Bestimmungen und die gestützt darauf bzw. auf Art. 57 SVG erlassenen bundesrät- lichen Vollziehungsvorschriften. Nach Art. 32 Abs. 2 SVG beschränkt der Bundesrat die Geschwindig- keit der Motorfahrzeuge auf allen Strassen. Die Signale «Höchstgeschwindigkeit» (2.30) und «Höchstgeschwindigkeit 50 generell» (2.30.1) nennen die Geschwindigkeit in Stundenkilometern (km/h), welche die Fahrzeuge auch bei günstigen Strassen-, Verkehrs- und Sichtverhältnissen nicht überschreiten dürfen. Die signalisierte Höchstgeschwindigkeit wird mit dem Signal «Ende der Höchst- geschwindigkeit» (2.53) oder «Ende der Höchstgeschwindigkeit 50 generell» (2.53.1) aufgehoben (Art. 22 Abs. 1 Signalisationsverordnung [SSV]). Die allgemeine Höchstgeschwindigkeit für Fahrzeuge beträgt unter günstigen Strassen‑, Verkehrs- und Sichtverhältnissen 50 km/h in Ortschaften (Art. 4a Abs. 1 Verkehrsregelnverordnung [VRV]). Abweichende signalisierte Höchstgeschwindigkeiten gehen den allgemeinen Höchstgeschwindigkeiten vor (Art. 4a VRV). Gemäss Art. 27 Abs. 1 SVG sind Signa- le und Markierungen zu befolgen. In subjektiver Hinsicht erfordert der Tatbestand von Art. 90 Abs. 1 SVG zumindest leichte Fahrlässig- keit (WEISSENBERGER, Kommentar Strassenverkehrsgesetz, 2. Aufl., Zürich/St. Gallen 2015, Art. 90 N 14). 2. Subsumtion Die Messstelle befand sich auf der Hauptstrasse innerorts in B.________, welche mit einer allgemein zulässigen Höchstgeschwindigkeit von 50 km/h signalisiert war. Nach dem Beweisergebnis wurde das vom Beschuldigten gelenkte Fahrzeug mit einer Geschwindigkeit von 59 km/h gemessen. Nach Ab- zug der vom ASTRA festgelegten Geräte- und Messunsicherheit von 5 km/h (Art. 8 Abs. 1 lit. a Ver- ordnung des ASTRA zur Strassenverkehrskontrollverordnung [VSKV-ASTRA]) hat der Beschuldigte die innerorts allgemein geltende und signalisierte Höchstgeschwindigkeit um netto 4 km/h überschrit- ten. Damit hat er den objektiven Tatbestand der einfachen Verkehrsregelverletzung nach Art. 90 Abs. 1 i.V.m. Art. 27 Abs. 1 SVG erfüllt. Das Verhalten des Beschuldigten ist mindestens als leicht fahrlässig zu qualifizieren. Rechtfertigungs- und/oder Schuldausschlussgründe sind keine ersichtlich. Der Beschuldigte ist folglich der einfachen Verkehrsregelverletzung, begangen durch das Überschrei- ten der allgemeinen, signalisierten Höchstgeschwindigkeit innerorts um netto 4 km/h, schuldig zu sprechen.</w:t>
      </w:r>
    </w:p>
    <w:p>
      <w:r>
        <w:rPr>
          <w:b/>
        </w:rPr>
        <w:t>E. 8</w:t>
      </w:r>
    </w:p>
    <w:p>
      <w:r>
        <w:t>Verfahrenskosten Fällt die Rechtsmittelinstanz einen neuen Entscheid, so befindet sie auch über die von der Vorinstanz getroffene Kostenregelung (Art. 428 Abs. 3 StPO). Die beschul- digte Person trägt die Verfahrenskosten, soweit sie verurteilt wird (Art. 426 Abs. 1 StPO). Die erstinstanzlichen Verfahrenskosten wurden auf CHF 1'600.00 bestimmt und setzen sich zusammen aus Gebühren von CHF 1'500.00 (CHF 100.00 Untersu- chung und CHF 1'400.00 Kosten des Gerichts) und den Kosten der Staatsanwalt- schaft von CHF 100.00 (pag. 172). Zufolge Schuldspruchs sind die erstinstanzli- chen Verfahrenskosten vollumfänglich dem Beschuldigten aufzuerlegen. Die Kosten im Rechtsmittelverfahren tragen die Parteien nach Massgabe ihres Ob- siegens oder Unterliegens (Art. 428 Abs. 1 StPO). Die Kosten des oberinstanzlichen Verfahrens werden in Anwendung von Art. 424 Abs. 1 StPO i.V.m. Art. 24 Abs. 1 lit. a des Verfahrenskostendekrets [VKD; BSG 161.12]) auf CHF 2'000.00 bestimmt. Der Beschuldigte unterliegt oberinstanz- lich vollumfänglich und hat diese Kosten entsprechend zu tragen.</w:t>
      </w:r>
    </w:p>
    <w:p>
      <w:r>
        <w:rPr>
          <w:b/>
        </w:rPr>
        <w:t>E. 9</w:t>
      </w:r>
    </w:p>
    <w:p>
      <w:r>
        <w:t>VI. Dispositiv Die 1. Strafkammer erkennt: I. A.________ wird schuldig erklärt der einfachen Verkehrsregelverletzung, begangen am 16. April 2022 in B.________ durch Überschreiten der allgemeinen, fahrzeugbedingten oder signalisierten Höchstgeschwindigkeit nach Abzug der vom ASTRA festgelegten Geräte- und Messunsicherheit innerorts um 4 km/h, und in Anwendung der Artikel 47 und 106 StGB 426 Abs. 1 und 428 Abs. 1 und 3 StPO 27 Abs. 1, 32 und 90 Abs. 1 SVG 4a Abs. 1 lit. a VRV 22 Abs. 1 und 108 SSV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