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425 vom 28. Februar 2025</w:t>
      </w:r>
    </w:p>
    <w:p>
      <w:r>
        <w:t>BE Obergericht, 2025-02-28, DE</w:t>
      </w:r>
    </w:p>
    <w:p>
      <w:r>
        <w:rPr>
          <w:b/>
        </w:rPr>
        <w:t xml:space="preserve">Quelle: </w:t>
      </w:r>
      <w:r>
        <w:t>https://mcp.opencaselaw.ch/entscheid/be_zivilstraf_SK_2023_425</w:t>
      </w:r>
    </w:p>
    <w:p>
      <w:r>
        <w:t>FR: BE_ZIVILSTRAF SK 2023 425 du 28 février 2025</w:t>
      </w:r>
    </w:p>
    <w:p>
      <w:r>
        <w:t>IT: BE_ZIVILSTRAF SK 2023 425 del 28 febbraio 2025</w:t>
      </w:r>
    </w:p>
    <w:p>
      <w:pPr>
        <w:pStyle w:val="Heading2"/>
      </w:pPr>
      <w:r>
        <w:t>Regeste</w:t>
      </w:r>
    </w:p>
    <w:p>
      <w:r>
        <w:t>qualifizierte Widerhandlungen gegen das Betäubungsmittelgesetz, qualifizierte Geldwäscherei, Widerhandlung gegen das Waffengesetz, Widerruf | Strafgesetz</w:t>
      </w:r>
    </w:p>
    <w:p>
      <w:pPr>
        <w:pStyle w:val="Heading2"/>
      </w:pPr>
      <w:r>
        <w:t>Erwägungen</w:t>
      </w:r>
    </w:p>
    <w:p>
      <w:r>
        <w:rPr>
          <w:b/>
        </w:rPr>
        <w:t>E. 1</w:t>
      </w:r>
    </w:p>
    <w:p>
      <w:r>
        <w:t>des Verbrechens gegen das Betäubungsmittelgesetz (Art. 19 Abs. 1 Bst. b, c, d und g, Abs. 2 Bst. a, b, und c BetmG), banden-, gewerbs- sowie teilweise mengenmässig begangen in der Zeit von ca. Frühling 2017 bis 9. Mai 2019, an diversen Orten in der Schweiz, durch Erwerb, Lagern, Herstellen und Veräussern von Methamphetamin sowie teilweise Can- nabis und teilweise Anstaltentreffen dazu;</w:t>
      </w:r>
    </w:p>
    <w:p>
      <w:r>
        <w:rPr>
          <w:b/>
        </w:rPr>
        <w:t>E. 2</w:t>
      </w:r>
    </w:p>
    <w:p>
      <w:r>
        <w:t>der bandenmässigen Geldwäscherei (Art. 305bis Ziff. 2 Bst. b StGB) begangen in der 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